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98C" w:rsidRPr="00EF1C36" w:rsidRDefault="00DA7839" w:rsidP="003D398C">
      <w:pPr>
        <w:pStyle w:val="Ttulo1"/>
        <w:rPr>
          <w:rFonts w:ascii="Arial" w:hAnsi="Arial" w:cs="Arial"/>
          <w:lang w:val="en-US"/>
        </w:rPr>
      </w:pPr>
      <w:r w:rsidRPr="00EF1C36">
        <w:rPr>
          <w:rFonts w:ascii="Arial" w:hAnsi="Arial" w:cs="Arial"/>
          <w:lang w:val="en-US"/>
        </w:rPr>
        <w:t>M</w:t>
      </w:r>
      <w:r w:rsidR="003D398C" w:rsidRPr="00EF1C36">
        <w:rPr>
          <w:rFonts w:ascii="Arial" w:hAnsi="Arial" w:cs="Arial"/>
          <w:lang w:val="en-US"/>
        </w:rPr>
        <w:t>inutes of meeting</w:t>
      </w:r>
    </w:p>
    <w:p w:rsidR="00FA6E20" w:rsidRPr="00FA6E20" w:rsidRDefault="00CC4AC7" w:rsidP="00FA6E20">
      <w:pPr>
        <w:spacing w:after="0"/>
        <w:rPr>
          <w:b/>
          <w:lang w:val="en-US"/>
        </w:rPr>
      </w:pPr>
      <w:r>
        <w:rPr>
          <w:b/>
          <w:lang w:val="en-US"/>
        </w:rPr>
        <w:t>4</w:t>
      </w:r>
      <w:r>
        <w:rPr>
          <w:b/>
          <w:vertAlign w:val="superscript"/>
          <w:lang w:val="en-US"/>
        </w:rPr>
        <w:t>th</w:t>
      </w:r>
      <w:r w:rsidR="003A7227">
        <w:rPr>
          <w:b/>
          <w:lang w:val="en-US"/>
        </w:rPr>
        <w:t xml:space="preserve"> M</w:t>
      </w:r>
      <w:r w:rsidR="00DC53BF">
        <w:rPr>
          <w:b/>
          <w:lang w:val="en-US"/>
        </w:rPr>
        <w:t>eeting</w:t>
      </w:r>
      <w:r w:rsidR="003A7227">
        <w:rPr>
          <w:b/>
          <w:lang w:val="en-US"/>
        </w:rPr>
        <w:t xml:space="preserve"> of WOC 1</w:t>
      </w:r>
      <w:r w:rsidR="00DC53BF">
        <w:rPr>
          <w:b/>
          <w:lang w:val="en-US"/>
        </w:rPr>
        <w:t xml:space="preserve">, </w:t>
      </w:r>
      <w:r w:rsidR="003A7227">
        <w:rPr>
          <w:b/>
          <w:lang w:val="en-US"/>
        </w:rPr>
        <w:t xml:space="preserve">Triennium </w:t>
      </w:r>
      <w:r w:rsidR="003D398C" w:rsidRPr="00FA6E20">
        <w:rPr>
          <w:b/>
          <w:lang w:val="en-US"/>
        </w:rPr>
        <w:t>2012-2015</w:t>
      </w:r>
    </w:p>
    <w:p w:rsidR="00FA6E20" w:rsidRDefault="00CC4AC7" w:rsidP="003D398C">
      <w:pPr>
        <w:rPr>
          <w:lang w:val="en-US"/>
        </w:rPr>
      </w:pPr>
      <w:r>
        <w:rPr>
          <w:lang w:val="en-US"/>
        </w:rPr>
        <w:t>Renaissance Hotel, Seoul</w:t>
      </w:r>
      <w:r w:rsidR="00FA6E20">
        <w:rPr>
          <w:lang w:val="en-US"/>
        </w:rPr>
        <w:t xml:space="preserve">, </w:t>
      </w:r>
      <w:r>
        <w:rPr>
          <w:lang w:val="en-US"/>
        </w:rPr>
        <w:t>10-13</w:t>
      </w:r>
      <w:r w:rsidR="00FA6E20">
        <w:rPr>
          <w:lang w:val="en-US"/>
        </w:rPr>
        <w:t xml:space="preserve"> </w:t>
      </w:r>
      <w:r>
        <w:rPr>
          <w:lang w:val="en-US"/>
        </w:rPr>
        <w:t>March</w:t>
      </w:r>
      <w:r w:rsidR="00FA6E20">
        <w:rPr>
          <w:lang w:val="en-US"/>
        </w:rPr>
        <w:t xml:space="preserve"> 201</w:t>
      </w:r>
      <w:r>
        <w:rPr>
          <w:lang w:val="en-US"/>
        </w:rPr>
        <w:t>4</w:t>
      </w:r>
    </w:p>
    <w:p w:rsidR="00EF1C36" w:rsidRDefault="000560EC" w:rsidP="00EF1C36">
      <w:pPr>
        <w:pStyle w:val="Ttulo1"/>
        <w:numPr>
          <w:ilvl w:val="0"/>
          <w:numId w:val="1"/>
        </w:numPr>
        <w:rPr>
          <w:lang w:val="en-US"/>
        </w:rPr>
      </w:pPr>
      <w:r>
        <w:rPr>
          <w:lang w:val="en-US"/>
        </w:rPr>
        <w:t>Attendance</w:t>
      </w:r>
    </w:p>
    <w:p w:rsidR="001D7724" w:rsidRDefault="00155C8E" w:rsidP="00517882">
      <w:pPr>
        <w:ind w:firstLine="708"/>
        <w:rPr>
          <w:lang w:val="en-US"/>
        </w:rPr>
      </w:pPr>
      <w:r>
        <w:rPr>
          <w:lang w:val="en-US"/>
        </w:rPr>
        <w:t xml:space="preserve">A total of </w:t>
      </w:r>
      <w:r w:rsidR="001B7274">
        <w:rPr>
          <w:lang w:val="en-US"/>
        </w:rPr>
        <w:t>77</w:t>
      </w:r>
      <w:r w:rsidR="00C840F0">
        <w:rPr>
          <w:lang w:val="en-US"/>
        </w:rPr>
        <w:t xml:space="preserve"> IGU</w:t>
      </w:r>
      <w:r w:rsidR="009A38CB">
        <w:rPr>
          <w:lang w:val="en-US"/>
        </w:rPr>
        <w:t xml:space="preserve"> </w:t>
      </w:r>
      <w:r w:rsidR="005763C7">
        <w:rPr>
          <w:lang w:val="en-US"/>
        </w:rPr>
        <w:t xml:space="preserve">authorities, </w:t>
      </w:r>
      <w:r w:rsidR="009A38CB">
        <w:rPr>
          <w:lang w:val="en-US"/>
        </w:rPr>
        <w:t>delegates</w:t>
      </w:r>
      <w:r w:rsidR="001B7274">
        <w:rPr>
          <w:lang w:val="en-US"/>
        </w:rPr>
        <w:t>,</w:t>
      </w:r>
      <w:r w:rsidR="001A016B">
        <w:rPr>
          <w:lang w:val="en-US"/>
        </w:rPr>
        <w:t xml:space="preserve"> </w:t>
      </w:r>
      <w:r w:rsidR="005763C7">
        <w:rPr>
          <w:lang w:val="en-US"/>
        </w:rPr>
        <w:t>guests</w:t>
      </w:r>
      <w:r w:rsidR="001B7274">
        <w:rPr>
          <w:lang w:val="en-US"/>
        </w:rPr>
        <w:t xml:space="preserve"> and accompanying persons from 20 countries</w:t>
      </w:r>
      <w:r w:rsidR="009A38CB">
        <w:rPr>
          <w:lang w:val="en-US"/>
        </w:rPr>
        <w:t xml:space="preserve"> </w:t>
      </w:r>
      <w:r w:rsidR="00602066">
        <w:rPr>
          <w:lang w:val="en-US"/>
        </w:rPr>
        <w:t>attended this meeting</w:t>
      </w:r>
      <w:r w:rsidR="001A016B">
        <w:rPr>
          <w:lang w:val="en-US"/>
        </w:rPr>
        <w:t>,</w:t>
      </w:r>
      <w:r w:rsidR="00C313B0">
        <w:rPr>
          <w:lang w:val="en-US"/>
        </w:rPr>
        <w:t xml:space="preserve"> </w:t>
      </w:r>
      <w:r w:rsidR="005763C7">
        <w:rPr>
          <w:lang w:val="en-US"/>
        </w:rPr>
        <w:t>which was held in conjunction with PGC A</w:t>
      </w:r>
      <w:r w:rsidR="001B7274">
        <w:rPr>
          <w:lang w:val="en-US"/>
        </w:rPr>
        <w:t xml:space="preserve"> and PGC C</w:t>
      </w:r>
      <w:r w:rsidR="005763C7">
        <w:rPr>
          <w:lang w:val="en-US"/>
        </w:rPr>
        <w:t xml:space="preserve">, </w:t>
      </w:r>
      <w:r w:rsidR="00C313B0">
        <w:rPr>
          <w:lang w:val="en-US"/>
        </w:rPr>
        <w:t xml:space="preserve">including </w:t>
      </w:r>
      <w:r w:rsidR="001B7274">
        <w:rPr>
          <w:lang w:val="en-US"/>
        </w:rPr>
        <w:t>Mr. Georges Liens, Chairman of the</w:t>
      </w:r>
      <w:r w:rsidR="001A016B">
        <w:rPr>
          <w:lang w:val="en-US"/>
        </w:rPr>
        <w:t xml:space="preserve"> Coordination Committee</w:t>
      </w:r>
      <w:r w:rsidR="001B7274">
        <w:rPr>
          <w:lang w:val="en-US"/>
        </w:rPr>
        <w:t xml:space="preserve"> of the IGU</w:t>
      </w:r>
      <w:r w:rsidR="001A016B">
        <w:rPr>
          <w:lang w:val="en-US"/>
        </w:rPr>
        <w:t>,</w:t>
      </w:r>
      <w:r w:rsidR="001B7274">
        <w:rPr>
          <w:lang w:val="en-US"/>
        </w:rPr>
        <w:t xml:space="preserve"> </w:t>
      </w:r>
      <w:r w:rsidR="008E6DCA">
        <w:rPr>
          <w:lang w:val="en-US"/>
        </w:rPr>
        <w:t xml:space="preserve">Mr. </w:t>
      </w:r>
      <w:proofErr w:type="spellStart"/>
      <w:r w:rsidR="001B7274">
        <w:rPr>
          <w:lang w:val="en-US"/>
        </w:rPr>
        <w:t>Seok</w:t>
      </w:r>
      <w:r w:rsidR="008E6DCA">
        <w:rPr>
          <w:lang w:val="en-US"/>
        </w:rPr>
        <w:t>-</w:t>
      </w:r>
      <w:r w:rsidR="001B7274">
        <w:rPr>
          <w:lang w:val="en-US"/>
        </w:rPr>
        <w:t>Hyo</w:t>
      </w:r>
      <w:proofErr w:type="spellEnd"/>
      <w:r w:rsidR="008E6DCA">
        <w:rPr>
          <w:lang w:val="en-US"/>
        </w:rPr>
        <w:t xml:space="preserve"> Jang</w:t>
      </w:r>
      <w:r w:rsidR="001B7274">
        <w:rPr>
          <w:lang w:val="en-US"/>
        </w:rPr>
        <w:t xml:space="preserve">, </w:t>
      </w:r>
      <w:proofErr w:type="spellStart"/>
      <w:r w:rsidR="001B7274">
        <w:rPr>
          <w:lang w:val="en-US"/>
        </w:rPr>
        <w:t>Kogas</w:t>
      </w:r>
      <w:proofErr w:type="spellEnd"/>
      <w:r w:rsidR="00DF768B">
        <w:rPr>
          <w:lang w:val="en-US"/>
        </w:rPr>
        <w:t xml:space="preserve"> CEO</w:t>
      </w:r>
      <w:r w:rsidR="001B7274">
        <w:rPr>
          <w:lang w:val="en-US"/>
        </w:rPr>
        <w:t xml:space="preserve"> </w:t>
      </w:r>
      <w:r w:rsidR="008E6DCA">
        <w:rPr>
          <w:lang w:val="en-US"/>
        </w:rPr>
        <w:t>and candidate to the Presidency of the IGU for the 2018-2021 triennium</w:t>
      </w:r>
      <w:r w:rsidR="001B7274">
        <w:rPr>
          <w:lang w:val="en-US"/>
        </w:rPr>
        <w:t>,</w:t>
      </w:r>
      <w:r w:rsidR="008E6DCA">
        <w:rPr>
          <w:lang w:val="en-US"/>
        </w:rPr>
        <w:t xml:space="preserve"> </w:t>
      </w:r>
      <w:r w:rsidR="00DF768B">
        <w:rPr>
          <w:lang w:val="en-US"/>
        </w:rPr>
        <w:t>Mr. Mr. Jae-</w:t>
      </w:r>
      <w:proofErr w:type="spellStart"/>
      <w:r w:rsidR="00DF768B">
        <w:rPr>
          <w:lang w:val="en-US"/>
        </w:rPr>
        <w:t>Seob</w:t>
      </w:r>
      <w:proofErr w:type="spellEnd"/>
      <w:r w:rsidR="00DF768B">
        <w:rPr>
          <w:lang w:val="en-US"/>
        </w:rPr>
        <w:t xml:space="preserve"> Kim, Secretary General of the KGU, </w:t>
      </w:r>
      <w:r w:rsidR="008E6DCA">
        <w:rPr>
          <w:lang w:val="en-US"/>
        </w:rPr>
        <w:t>Mr. Bong-</w:t>
      </w:r>
      <w:proofErr w:type="spellStart"/>
      <w:r w:rsidR="008E6DCA">
        <w:rPr>
          <w:lang w:val="en-US"/>
        </w:rPr>
        <w:t>Suh</w:t>
      </w:r>
      <w:proofErr w:type="spellEnd"/>
      <w:r w:rsidR="008E6DCA">
        <w:rPr>
          <w:lang w:val="en-US"/>
        </w:rPr>
        <w:t xml:space="preserve"> Lee, former Minister of Trade and Industry, Mr. </w:t>
      </w:r>
      <w:proofErr w:type="spellStart"/>
      <w:r w:rsidR="008E6DCA">
        <w:rPr>
          <w:lang w:val="en-US"/>
        </w:rPr>
        <w:t>Youn</w:t>
      </w:r>
      <w:r w:rsidR="00CE2640">
        <w:rPr>
          <w:lang w:val="en-US"/>
        </w:rPr>
        <w:t>-H</w:t>
      </w:r>
      <w:r w:rsidR="008E6DCA">
        <w:rPr>
          <w:lang w:val="en-US"/>
        </w:rPr>
        <w:t>oo</w:t>
      </w:r>
      <w:proofErr w:type="spellEnd"/>
      <w:r w:rsidR="008E6DCA">
        <w:rPr>
          <w:lang w:val="en-US"/>
        </w:rPr>
        <w:t xml:space="preserve"> Lee, former Minister of Knowledge Economy,</w:t>
      </w:r>
      <w:r w:rsidR="001B7274">
        <w:rPr>
          <w:lang w:val="en-US"/>
        </w:rPr>
        <w:t xml:space="preserve"> </w:t>
      </w:r>
      <w:r w:rsidR="00CE2640">
        <w:rPr>
          <w:lang w:val="en-US"/>
        </w:rPr>
        <w:t>Mr. Kang-</w:t>
      </w:r>
      <w:proofErr w:type="spellStart"/>
      <w:r w:rsidR="001B7274">
        <w:rPr>
          <w:lang w:val="en-US"/>
        </w:rPr>
        <w:t>Soo</w:t>
      </w:r>
      <w:proofErr w:type="spellEnd"/>
      <w:r w:rsidR="001B7274">
        <w:rPr>
          <w:lang w:val="en-US"/>
        </w:rPr>
        <w:t xml:space="preserve"> </w:t>
      </w:r>
      <w:proofErr w:type="spellStart"/>
      <w:r w:rsidR="001B7274">
        <w:rPr>
          <w:lang w:val="en-US"/>
        </w:rPr>
        <w:t>Choo</w:t>
      </w:r>
      <w:proofErr w:type="spellEnd"/>
      <w:r w:rsidR="001B7274">
        <w:rPr>
          <w:lang w:val="en-US"/>
        </w:rPr>
        <w:t xml:space="preserve">, former CEO of </w:t>
      </w:r>
      <w:proofErr w:type="spellStart"/>
      <w:r w:rsidR="001B7274">
        <w:rPr>
          <w:lang w:val="en-US"/>
        </w:rPr>
        <w:t>Kogas</w:t>
      </w:r>
      <w:proofErr w:type="spellEnd"/>
      <w:r w:rsidR="008E6DCA">
        <w:rPr>
          <w:lang w:val="en-US"/>
        </w:rPr>
        <w:t>, 19 delegates from WOC 1, 21 from PGC A and 12 from PGC C</w:t>
      </w:r>
      <w:r w:rsidR="00517882">
        <w:rPr>
          <w:lang w:val="en-US"/>
        </w:rPr>
        <w:t xml:space="preserve"> (</w:t>
      </w:r>
      <w:r w:rsidR="00517882">
        <w:rPr>
          <w:lang w:val="en-US"/>
        </w:rPr>
        <w:fldChar w:fldCharType="begin"/>
      </w:r>
      <w:r w:rsidR="00517882">
        <w:rPr>
          <w:lang w:val="en-US"/>
        </w:rPr>
        <w:instrText xml:space="preserve"> REF _Ref349650176 \h </w:instrText>
      </w:r>
      <w:r w:rsidR="00517882">
        <w:rPr>
          <w:lang w:val="en-US"/>
        </w:rPr>
      </w:r>
      <w:r w:rsidR="00517882">
        <w:rPr>
          <w:lang w:val="en-US"/>
        </w:rPr>
        <w:fldChar w:fldCharType="separate"/>
      </w:r>
      <w:r w:rsidR="00CE2640" w:rsidRPr="003D398C">
        <w:rPr>
          <w:lang w:val="en-GB"/>
        </w:rPr>
        <w:t xml:space="preserve">Table </w:t>
      </w:r>
      <w:r w:rsidR="00CE2640">
        <w:rPr>
          <w:noProof/>
          <w:lang w:val="en-GB"/>
        </w:rPr>
        <w:t>1</w:t>
      </w:r>
      <w:r w:rsidR="00517882">
        <w:rPr>
          <w:lang w:val="en-US"/>
        </w:rPr>
        <w:fldChar w:fldCharType="end"/>
      </w:r>
      <w:r w:rsidR="00517882">
        <w:rPr>
          <w:lang w:val="en-US"/>
        </w:rPr>
        <w:t>)</w:t>
      </w:r>
      <w:r w:rsidR="00C840F0">
        <w:rPr>
          <w:lang w:val="en-US"/>
        </w:rPr>
        <w:t>.</w:t>
      </w:r>
      <w:r w:rsidR="00EF1C36">
        <w:rPr>
          <w:lang w:val="en-US"/>
        </w:rPr>
        <w:t xml:space="preserve"> </w:t>
      </w:r>
    </w:p>
    <w:p w:rsidR="00CE2640" w:rsidRDefault="00CE2640" w:rsidP="00517882">
      <w:pPr>
        <w:ind w:firstLine="708"/>
        <w:rPr>
          <w:lang w:val="en-US"/>
        </w:rPr>
      </w:pPr>
    </w:p>
    <w:p w:rsidR="003D398C" w:rsidRPr="003D398C" w:rsidRDefault="003D398C" w:rsidP="00C763ED">
      <w:pPr>
        <w:pStyle w:val="Legenda"/>
        <w:keepNext/>
        <w:ind w:firstLine="851"/>
        <w:jc w:val="left"/>
        <w:rPr>
          <w:lang w:val="en-GB"/>
        </w:rPr>
      </w:pPr>
      <w:bookmarkStart w:id="0" w:name="_Ref349650176"/>
      <w:proofErr w:type="gramStart"/>
      <w:r w:rsidRPr="003D398C">
        <w:rPr>
          <w:lang w:val="en-GB"/>
        </w:rPr>
        <w:t xml:space="preserve">Table </w:t>
      </w:r>
      <w:r w:rsidR="00C763ED">
        <w:rPr>
          <w:lang w:val="en-GB"/>
        </w:rPr>
        <w:fldChar w:fldCharType="begin"/>
      </w:r>
      <w:r w:rsidR="00C763ED">
        <w:rPr>
          <w:lang w:val="en-GB"/>
        </w:rPr>
        <w:instrText xml:space="preserve"> SEQ Table \* ARABIC </w:instrText>
      </w:r>
      <w:r w:rsidR="00C763ED">
        <w:rPr>
          <w:lang w:val="en-GB"/>
        </w:rPr>
        <w:fldChar w:fldCharType="separate"/>
      </w:r>
      <w:r w:rsidR="00C763ED">
        <w:rPr>
          <w:noProof/>
          <w:lang w:val="en-GB"/>
        </w:rPr>
        <w:t>1</w:t>
      </w:r>
      <w:r w:rsidR="00C763ED">
        <w:rPr>
          <w:lang w:val="en-GB"/>
        </w:rPr>
        <w:fldChar w:fldCharType="end"/>
      </w:r>
      <w:bookmarkEnd w:id="0"/>
      <w:r w:rsidRPr="003D398C">
        <w:rPr>
          <w:lang w:val="en-GB"/>
        </w:rPr>
        <w:t>.</w:t>
      </w:r>
      <w:proofErr w:type="gramEnd"/>
      <w:r w:rsidRPr="003D398C">
        <w:rPr>
          <w:lang w:val="en-GB"/>
        </w:rPr>
        <w:t xml:space="preserve"> </w:t>
      </w:r>
      <w:proofErr w:type="gramStart"/>
      <w:r w:rsidR="00127330">
        <w:rPr>
          <w:lang w:val="en-GB"/>
        </w:rPr>
        <w:t>Attendees from WOC 1</w:t>
      </w:r>
      <w:r w:rsidRPr="003D398C">
        <w:rPr>
          <w:lang w:val="en-GB"/>
        </w:rPr>
        <w:t>.</w:t>
      </w:r>
      <w:proofErr w:type="gramEnd"/>
    </w:p>
    <w:p w:rsidR="003D398C" w:rsidRDefault="00DF4809" w:rsidP="00EF1C36">
      <w:pPr>
        <w:jc w:val="center"/>
        <w:rPr>
          <w:lang w:val="en-US"/>
        </w:rPr>
      </w:pPr>
      <w:r w:rsidRPr="00DF4809">
        <w:rPr>
          <w:noProof/>
          <w:lang w:val="en-GB"/>
        </w:rPr>
        <w:drawing>
          <wp:inline distT="0" distB="0" distL="0" distR="0">
            <wp:extent cx="4267200" cy="3819525"/>
            <wp:effectExtent l="0" t="0" r="0" b="9525"/>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67200" cy="3819525"/>
                    </a:xfrm>
                    <a:prstGeom prst="rect">
                      <a:avLst/>
                    </a:prstGeom>
                    <a:noFill/>
                    <a:ln>
                      <a:noFill/>
                    </a:ln>
                  </pic:spPr>
                </pic:pic>
              </a:graphicData>
            </a:graphic>
          </wp:inline>
        </w:drawing>
      </w:r>
    </w:p>
    <w:p w:rsidR="00CE2640" w:rsidRDefault="00CE2640" w:rsidP="00EF1C36">
      <w:pPr>
        <w:jc w:val="center"/>
        <w:rPr>
          <w:lang w:val="en-US"/>
        </w:rPr>
      </w:pPr>
    </w:p>
    <w:p w:rsidR="00517882" w:rsidRDefault="00910D44" w:rsidP="00517882">
      <w:pPr>
        <w:pStyle w:val="Ttulo1"/>
        <w:numPr>
          <w:ilvl w:val="0"/>
          <w:numId w:val="1"/>
        </w:numPr>
        <w:rPr>
          <w:lang w:val="en-US"/>
        </w:rPr>
      </w:pPr>
      <w:r>
        <w:rPr>
          <w:lang w:val="en-US"/>
        </w:rPr>
        <w:lastRenderedPageBreak/>
        <w:t>Joint plenary session</w:t>
      </w:r>
    </w:p>
    <w:p w:rsidR="00416EE5" w:rsidRDefault="00155C8E" w:rsidP="003A7227">
      <w:pPr>
        <w:ind w:firstLine="708"/>
        <w:rPr>
          <w:lang w:val="en-US"/>
        </w:rPr>
      </w:pPr>
      <w:r>
        <w:rPr>
          <w:lang w:val="en-US"/>
        </w:rPr>
        <w:t xml:space="preserve">After </w:t>
      </w:r>
      <w:r w:rsidR="00C513F5">
        <w:rPr>
          <w:lang w:val="en-US"/>
        </w:rPr>
        <w:t>brief</w:t>
      </w:r>
      <w:r w:rsidR="003A7227">
        <w:rPr>
          <w:lang w:val="en-US"/>
        </w:rPr>
        <w:t xml:space="preserve"> welcome words </w:t>
      </w:r>
      <w:r w:rsidR="00C513F5">
        <w:rPr>
          <w:lang w:val="en-US"/>
        </w:rPr>
        <w:t>from</w:t>
      </w:r>
      <w:r w:rsidR="003A7227">
        <w:rPr>
          <w:lang w:val="en-US"/>
        </w:rPr>
        <w:t xml:space="preserve"> the c</w:t>
      </w:r>
      <w:r>
        <w:rPr>
          <w:lang w:val="en-US"/>
        </w:rPr>
        <w:t>hairm</w:t>
      </w:r>
      <w:r w:rsidR="00C513F5">
        <w:rPr>
          <w:lang w:val="en-US"/>
        </w:rPr>
        <w:t>a</w:t>
      </w:r>
      <w:r>
        <w:rPr>
          <w:lang w:val="en-US"/>
        </w:rPr>
        <w:t xml:space="preserve">n of </w:t>
      </w:r>
      <w:r w:rsidR="00C513F5">
        <w:rPr>
          <w:lang w:val="en-US"/>
        </w:rPr>
        <w:t xml:space="preserve">PGC C, </w:t>
      </w:r>
      <w:r w:rsidR="00C513F5" w:rsidRPr="008218B6">
        <w:rPr>
          <w:b/>
          <w:lang w:val="en-US"/>
        </w:rPr>
        <w:t xml:space="preserve">Dr. </w:t>
      </w:r>
      <w:proofErr w:type="spellStart"/>
      <w:r w:rsidR="00C513F5" w:rsidRPr="008218B6">
        <w:rPr>
          <w:b/>
          <w:lang w:val="en-US"/>
        </w:rPr>
        <w:t>Gi-Chul</w:t>
      </w:r>
      <w:proofErr w:type="spellEnd"/>
      <w:r w:rsidR="00C513F5" w:rsidRPr="008218B6">
        <w:rPr>
          <w:b/>
          <w:lang w:val="en-US"/>
        </w:rPr>
        <w:t xml:space="preserve"> Jung</w:t>
      </w:r>
      <w:r w:rsidR="00C513F5">
        <w:rPr>
          <w:lang w:val="en-US"/>
        </w:rPr>
        <w:t>,</w:t>
      </w:r>
      <w:r>
        <w:rPr>
          <w:lang w:val="en-US"/>
        </w:rPr>
        <w:t xml:space="preserve"> </w:t>
      </w:r>
      <w:r w:rsidR="00BE5788">
        <w:rPr>
          <w:lang w:val="en-US"/>
        </w:rPr>
        <w:t xml:space="preserve">from </w:t>
      </w:r>
      <w:r w:rsidR="00C513F5">
        <w:rPr>
          <w:lang w:val="en-US"/>
        </w:rPr>
        <w:t xml:space="preserve">the chairman of </w:t>
      </w:r>
      <w:r>
        <w:rPr>
          <w:lang w:val="en-US"/>
        </w:rPr>
        <w:t>PGC A</w:t>
      </w:r>
      <w:r w:rsidR="00C513F5">
        <w:rPr>
          <w:lang w:val="en-US"/>
        </w:rPr>
        <w:t xml:space="preserve">, </w:t>
      </w:r>
      <w:r w:rsidR="00C513F5" w:rsidRPr="008218B6">
        <w:rPr>
          <w:b/>
          <w:lang w:val="en-US"/>
        </w:rPr>
        <w:t>Mr. Satoshi Yoshida</w:t>
      </w:r>
      <w:r w:rsidR="00C513F5">
        <w:rPr>
          <w:lang w:val="en-US"/>
        </w:rPr>
        <w:t xml:space="preserve">, and </w:t>
      </w:r>
      <w:r w:rsidR="00BE5788">
        <w:rPr>
          <w:lang w:val="en-US"/>
        </w:rPr>
        <w:t xml:space="preserve">from </w:t>
      </w:r>
      <w:r w:rsidR="00C513F5">
        <w:rPr>
          <w:lang w:val="en-US"/>
        </w:rPr>
        <w:t>the acting chairman of WOC 1</w:t>
      </w:r>
      <w:r>
        <w:rPr>
          <w:lang w:val="en-US"/>
        </w:rPr>
        <w:t xml:space="preserve">, </w:t>
      </w:r>
      <w:r w:rsidR="00C513F5" w:rsidRPr="008218B6">
        <w:rPr>
          <w:b/>
          <w:lang w:val="en-US"/>
        </w:rPr>
        <w:t>Dr. Marcos de Freitas Sugaya</w:t>
      </w:r>
      <w:r w:rsidR="00C513F5">
        <w:rPr>
          <w:lang w:val="en-US"/>
        </w:rPr>
        <w:t>, the</w:t>
      </w:r>
      <w:r>
        <w:rPr>
          <w:lang w:val="en-US"/>
        </w:rPr>
        <w:t xml:space="preserve"> meeting started with</w:t>
      </w:r>
      <w:r w:rsidR="00C513F5">
        <w:rPr>
          <w:lang w:val="en-US"/>
        </w:rPr>
        <w:t xml:space="preserve"> a congratulatory speech from </w:t>
      </w:r>
      <w:r w:rsidR="00C513F5" w:rsidRPr="008218B6">
        <w:rPr>
          <w:b/>
          <w:lang w:val="en-US"/>
        </w:rPr>
        <w:t xml:space="preserve">Mr. </w:t>
      </w:r>
      <w:proofErr w:type="spellStart"/>
      <w:r w:rsidR="00C513F5" w:rsidRPr="008218B6">
        <w:rPr>
          <w:b/>
          <w:lang w:val="en-US"/>
        </w:rPr>
        <w:t>Seok-Hyo</w:t>
      </w:r>
      <w:proofErr w:type="spellEnd"/>
      <w:r w:rsidR="00C513F5" w:rsidRPr="008218B6">
        <w:rPr>
          <w:b/>
          <w:lang w:val="en-US"/>
        </w:rPr>
        <w:t xml:space="preserve"> Jang</w:t>
      </w:r>
      <w:r w:rsidR="00C513F5">
        <w:rPr>
          <w:lang w:val="en-US"/>
        </w:rPr>
        <w:t xml:space="preserve">, </w:t>
      </w:r>
      <w:r w:rsidR="00416EE5">
        <w:rPr>
          <w:lang w:val="en-US"/>
        </w:rPr>
        <w:t xml:space="preserve">current </w:t>
      </w:r>
      <w:r w:rsidR="00C513F5">
        <w:rPr>
          <w:lang w:val="en-US"/>
        </w:rPr>
        <w:t xml:space="preserve">President and CEO of </w:t>
      </w:r>
      <w:proofErr w:type="spellStart"/>
      <w:r w:rsidR="00C513F5">
        <w:rPr>
          <w:lang w:val="en-US"/>
        </w:rPr>
        <w:t>Kogas</w:t>
      </w:r>
      <w:proofErr w:type="spellEnd"/>
      <w:r w:rsidR="00416EE5">
        <w:rPr>
          <w:lang w:val="en-US"/>
        </w:rPr>
        <w:t>, and candidate to the presidency of the IGU for the triennium 2018-2021.</w:t>
      </w:r>
    </w:p>
    <w:p w:rsidR="00C513F5" w:rsidRDefault="00BE5788" w:rsidP="003A7227">
      <w:pPr>
        <w:ind w:firstLine="708"/>
        <w:rPr>
          <w:lang w:val="en-US"/>
        </w:rPr>
      </w:pPr>
      <w:r w:rsidRPr="00CD0457">
        <w:rPr>
          <w:lang w:val="en-US"/>
        </w:rPr>
        <w:t xml:space="preserve">In the sequence, </w:t>
      </w:r>
      <w:r w:rsidR="00C513F5" w:rsidRPr="00D87DF5">
        <w:rPr>
          <w:b/>
          <w:lang w:val="en-US"/>
        </w:rPr>
        <w:t xml:space="preserve">Mr. Kun-Ho Lee </w:t>
      </w:r>
      <w:r w:rsidR="00416EE5">
        <w:rPr>
          <w:lang w:val="en-US"/>
        </w:rPr>
        <w:t>(</w:t>
      </w:r>
      <w:proofErr w:type="spellStart"/>
      <w:r w:rsidR="00C513F5">
        <w:rPr>
          <w:lang w:val="en-US"/>
        </w:rPr>
        <w:t>Kogas</w:t>
      </w:r>
      <w:proofErr w:type="spellEnd"/>
      <w:r w:rsidR="00416EE5">
        <w:rPr>
          <w:lang w:val="en-US"/>
        </w:rPr>
        <w:t>) lectured the delegates on the</w:t>
      </w:r>
      <w:r w:rsidR="00AB4AA0">
        <w:rPr>
          <w:lang w:val="en-US"/>
        </w:rPr>
        <w:t xml:space="preserve"> current status of the</w:t>
      </w:r>
      <w:r w:rsidR="00416EE5">
        <w:rPr>
          <w:lang w:val="en-US"/>
        </w:rPr>
        <w:t xml:space="preserve"> Korean gas industry. The country importe</w:t>
      </w:r>
      <w:r w:rsidR="00C513F5">
        <w:rPr>
          <w:lang w:val="en-US"/>
        </w:rPr>
        <w:t xml:space="preserve">d nearly 41 M tons of LNG in 2013, </w:t>
      </w:r>
      <w:r w:rsidR="00E72D0B">
        <w:rPr>
          <w:lang w:val="en-US"/>
        </w:rPr>
        <w:t>and</w:t>
      </w:r>
      <w:r w:rsidR="00C513F5">
        <w:rPr>
          <w:lang w:val="en-US"/>
        </w:rPr>
        <w:t xml:space="preserve"> </w:t>
      </w:r>
      <w:proofErr w:type="spellStart"/>
      <w:r w:rsidR="00C513F5">
        <w:rPr>
          <w:lang w:val="en-US"/>
        </w:rPr>
        <w:t>Kogas</w:t>
      </w:r>
      <w:proofErr w:type="spellEnd"/>
      <w:r w:rsidR="00C513F5">
        <w:rPr>
          <w:lang w:val="en-US"/>
        </w:rPr>
        <w:t xml:space="preserve"> </w:t>
      </w:r>
      <w:r w:rsidR="00E72D0B">
        <w:rPr>
          <w:lang w:val="en-US"/>
        </w:rPr>
        <w:t>continue</w:t>
      </w:r>
      <w:r w:rsidR="005E2EDA">
        <w:rPr>
          <w:lang w:val="en-US"/>
        </w:rPr>
        <w:t>s</w:t>
      </w:r>
      <w:r w:rsidR="00E72D0B">
        <w:rPr>
          <w:lang w:val="en-US"/>
        </w:rPr>
        <w:t xml:space="preserve"> to be</w:t>
      </w:r>
      <w:r w:rsidR="00C513F5">
        <w:rPr>
          <w:lang w:val="en-US"/>
        </w:rPr>
        <w:t xml:space="preserve"> the single largest buyer of LNG in the world. </w:t>
      </w:r>
      <w:r w:rsidR="00AB4AA0">
        <w:rPr>
          <w:lang w:val="en-US"/>
        </w:rPr>
        <w:t>The</w:t>
      </w:r>
      <w:r w:rsidR="00E43EC0">
        <w:rPr>
          <w:lang w:val="en-US"/>
        </w:rPr>
        <w:t xml:space="preserve"> supply has been procured from 10 countries by means of 16 long term and 3 medium term contracts, including Sabine Pass</w:t>
      </w:r>
      <w:r w:rsidR="00AB4AA0">
        <w:rPr>
          <w:lang w:val="en-US"/>
        </w:rPr>
        <w:t>, but 21 new projects are currently under investigation</w:t>
      </w:r>
      <w:r w:rsidR="00E43EC0">
        <w:rPr>
          <w:lang w:val="en-US"/>
        </w:rPr>
        <w:t>. There are three</w:t>
      </w:r>
      <w:r w:rsidR="00AB4AA0">
        <w:rPr>
          <w:lang w:val="en-US"/>
        </w:rPr>
        <w:t xml:space="preserve"> regasification</w:t>
      </w:r>
      <w:r w:rsidR="00E43EC0">
        <w:rPr>
          <w:lang w:val="en-US"/>
        </w:rPr>
        <w:t xml:space="preserve"> terminals in </w:t>
      </w:r>
      <w:r w:rsidR="00D87DF5">
        <w:rPr>
          <w:lang w:val="en-US"/>
        </w:rPr>
        <w:t>the country</w:t>
      </w:r>
      <w:r w:rsidR="00E43EC0">
        <w:rPr>
          <w:lang w:val="en-US"/>
        </w:rPr>
        <w:t xml:space="preserve">, </w:t>
      </w:r>
      <w:r w:rsidR="00D87DF5">
        <w:rPr>
          <w:lang w:val="en-US"/>
        </w:rPr>
        <w:t>a</w:t>
      </w:r>
      <w:r w:rsidR="00AB4AA0">
        <w:rPr>
          <w:lang w:val="en-US"/>
        </w:rPr>
        <w:t xml:space="preserve"> fourth </w:t>
      </w:r>
      <w:r w:rsidR="00E43EC0">
        <w:rPr>
          <w:lang w:val="en-US"/>
        </w:rPr>
        <w:t xml:space="preserve">in construction and </w:t>
      </w:r>
      <w:r w:rsidR="00D87DF5">
        <w:rPr>
          <w:lang w:val="en-US"/>
        </w:rPr>
        <w:t>a fifth</w:t>
      </w:r>
      <w:r w:rsidR="00AB4AA0">
        <w:rPr>
          <w:lang w:val="en-US"/>
        </w:rPr>
        <w:t xml:space="preserve"> </w:t>
      </w:r>
      <w:r w:rsidR="00E43EC0">
        <w:rPr>
          <w:lang w:val="en-US"/>
        </w:rPr>
        <w:t>under study.</w:t>
      </w:r>
      <w:r w:rsidR="0064037F">
        <w:rPr>
          <w:lang w:val="en-US"/>
        </w:rPr>
        <w:t xml:space="preserve"> Most of the future </w:t>
      </w:r>
      <w:r w:rsidR="00D87DF5">
        <w:rPr>
          <w:lang w:val="en-US"/>
        </w:rPr>
        <w:t>capacity</w:t>
      </w:r>
      <w:r w:rsidR="0064037F">
        <w:rPr>
          <w:lang w:val="en-US"/>
        </w:rPr>
        <w:t xml:space="preserve"> will </w:t>
      </w:r>
      <w:r w:rsidR="00AB4AA0">
        <w:rPr>
          <w:lang w:val="en-US"/>
        </w:rPr>
        <w:t xml:space="preserve">continue to </w:t>
      </w:r>
      <w:r w:rsidR="0064037F">
        <w:rPr>
          <w:lang w:val="en-US"/>
        </w:rPr>
        <w:t>come from nuclear power,</w:t>
      </w:r>
      <w:r w:rsidR="00AB4AA0">
        <w:rPr>
          <w:lang w:val="en-US"/>
        </w:rPr>
        <w:t xml:space="preserve"> in spite of a recent change in the National Energy Basic Plan,</w:t>
      </w:r>
      <w:r w:rsidR="0064037F">
        <w:rPr>
          <w:lang w:val="en-US"/>
        </w:rPr>
        <w:t xml:space="preserve"> but</w:t>
      </w:r>
      <w:r w:rsidR="00CE7FA2">
        <w:rPr>
          <w:lang w:val="en-US"/>
        </w:rPr>
        <w:t xml:space="preserve"> </w:t>
      </w:r>
      <w:r w:rsidR="0064037F">
        <w:rPr>
          <w:lang w:val="en-US"/>
        </w:rPr>
        <w:t xml:space="preserve">the share of gas in the primary mix </w:t>
      </w:r>
      <w:r w:rsidR="00D87DF5">
        <w:rPr>
          <w:lang w:val="en-US"/>
        </w:rPr>
        <w:t>is</w:t>
      </w:r>
      <w:r w:rsidR="00633289">
        <w:rPr>
          <w:lang w:val="en-US"/>
        </w:rPr>
        <w:t xml:space="preserve"> also</w:t>
      </w:r>
      <w:r w:rsidR="0064037F">
        <w:rPr>
          <w:lang w:val="en-US"/>
        </w:rPr>
        <w:t xml:space="preserve"> </w:t>
      </w:r>
      <w:r w:rsidR="00D87DF5">
        <w:rPr>
          <w:lang w:val="en-US"/>
        </w:rPr>
        <w:t>expected to increase.</w:t>
      </w:r>
      <w:r w:rsidR="00416EE5">
        <w:rPr>
          <w:lang w:val="en-US"/>
        </w:rPr>
        <w:t xml:space="preserve"> </w:t>
      </w:r>
      <w:r w:rsidR="005E2EDA">
        <w:rPr>
          <w:lang w:val="en-US"/>
        </w:rPr>
        <w:t>In addition to that, t</w:t>
      </w:r>
      <w:r w:rsidR="00AC2FBF">
        <w:rPr>
          <w:lang w:val="en-US"/>
        </w:rPr>
        <w:t>he</w:t>
      </w:r>
      <w:r w:rsidR="00EE5E18">
        <w:rPr>
          <w:lang w:val="en-US"/>
        </w:rPr>
        <w:t xml:space="preserve"> country </w:t>
      </w:r>
      <w:r w:rsidR="00AB4AA0">
        <w:rPr>
          <w:lang w:val="en-US"/>
        </w:rPr>
        <w:t xml:space="preserve">will </w:t>
      </w:r>
      <w:r w:rsidR="00633289">
        <w:rPr>
          <w:lang w:val="en-US"/>
        </w:rPr>
        <w:t>expand</w:t>
      </w:r>
      <w:r w:rsidR="00EE5E18">
        <w:rPr>
          <w:lang w:val="en-US"/>
        </w:rPr>
        <w:t xml:space="preserve"> its transmission system from about 4.000 km to nearly 5.000 km </w:t>
      </w:r>
      <w:r w:rsidR="00633289">
        <w:rPr>
          <w:lang w:val="en-US"/>
        </w:rPr>
        <w:t>by</w:t>
      </w:r>
      <w:r w:rsidR="00EE5E18">
        <w:rPr>
          <w:lang w:val="en-US"/>
        </w:rPr>
        <w:t xml:space="preserve"> 2017.</w:t>
      </w:r>
    </w:p>
    <w:p w:rsidR="002C650D" w:rsidRDefault="005E2EDA" w:rsidP="003A7227">
      <w:pPr>
        <w:ind w:firstLine="708"/>
        <w:rPr>
          <w:lang w:val="en-US"/>
        </w:rPr>
      </w:pPr>
      <w:r w:rsidRPr="005E2EDA">
        <w:rPr>
          <w:b/>
          <w:lang w:val="en-US"/>
        </w:rPr>
        <w:t xml:space="preserve">Mrs. Karen </w:t>
      </w:r>
      <w:proofErr w:type="spellStart"/>
      <w:r w:rsidRPr="005E2EDA">
        <w:rPr>
          <w:b/>
          <w:lang w:val="en-US"/>
        </w:rPr>
        <w:t>Sund</w:t>
      </w:r>
      <w:proofErr w:type="spellEnd"/>
      <w:r>
        <w:rPr>
          <w:lang w:val="en-US"/>
        </w:rPr>
        <w:t xml:space="preserve"> (</w:t>
      </w:r>
      <w:proofErr w:type="spellStart"/>
      <w:r>
        <w:rPr>
          <w:lang w:val="en-US"/>
        </w:rPr>
        <w:t>Sund</w:t>
      </w:r>
      <w:proofErr w:type="spellEnd"/>
      <w:r>
        <w:rPr>
          <w:lang w:val="en-US"/>
        </w:rPr>
        <w:t xml:space="preserve"> Energy) kindly forwarded her presentation, which was shared with the attendance. She thinks oil and gas companies often see gas as a</w:t>
      </w:r>
      <w:r w:rsidR="003F77D8">
        <w:rPr>
          <w:lang w:val="en-US"/>
        </w:rPr>
        <w:t xml:space="preserve"> somewhat</w:t>
      </w:r>
      <w:r>
        <w:rPr>
          <w:lang w:val="en-US"/>
        </w:rPr>
        <w:t xml:space="preserve"> precious fuel, mainly for its cleanliness and flexibility, but the perception is different among power producers and environmentalists. </w:t>
      </w:r>
      <w:r w:rsidR="003F77D8">
        <w:rPr>
          <w:lang w:val="en-US"/>
        </w:rPr>
        <w:t>I</w:t>
      </w:r>
      <w:r>
        <w:rPr>
          <w:lang w:val="en-US"/>
        </w:rPr>
        <w:t>t is necessary to rethink all assumptions in a much broader perspective</w:t>
      </w:r>
      <w:r w:rsidR="00F4770E">
        <w:rPr>
          <w:lang w:val="en-US"/>
        </w:rPr>
        <w:t xml:space="preserve">, in which competition from other sources such as nuclear and even coal </w:t>
      </w:r>
      <w:r w:rsidR="003F77D8">
        <w:rPr>
          <w:lang w:val="en-US"/>
        </w:rPr>
        <w:t>should</w:t>
      </w:r>
      <w:r w:rsidR="00F4770E">
        <w:rPr>
          <w:lang w:val="en-US"/>
        </w:rPr>
        <w:t xml:space="preserve"> be included</w:t>
      </w:r>
      <w:r>
        <w:rPr>
          <w:lang w:val="en-US"/>
        </w:rPr>
        <w:t xml:space="preserve">. </w:t>
      </w:r>
      <w:r w:rsidR="00C23F6E">
        <w:rPr>
          <w:lang w:val="en-US"/>
        </w:rPr>
        <w:t>In addition to that, o</w:t>
      </w:r>
      <w:r w:rsidR="00D72660">
        <w:rPr>
          <w:lang w:val="en-US"/>
        </w:rPr>
        <w:t xml:space="preserve">ther options for gas </w:t>
      </w:r>
      <w:r w:rsidR="003F77D8">
        <w:rPr>
          <w:lang w:val="en-US"/>
        </w:rPr>
        <w:t>should</w:t>
      </w:r>
      <w:r w:rsidR="00D72660">
        <w:rPr>
          <w:lang w:val="en-US"/>
        </w:rPr>
        <w:t xml:space="preserve"> be investigated, as higher margins </w:t>
      </w:r>
      <w:r w:rsidR="00C23F6E">
        <w:rPr>
          <w:lang w:val="en-US"/>
        </w:rPr>
        <w:t>are likely to</w:t>
      </w:r>
      <w:r w:rsidR="00D72660">
        <w:rPr>
          <w:lang w:val="en-US"/>
        </w:rPr>
        <w:t xml:space="preserve"> be obtained in transportation</w:t>
      </w:r>
      <w:r w:rsidR="00C23F6E">
        <w:rPr>
          <w:lang w:val="en-US"/>
        </w:rPr>
        <w:t xml:space="preserve"> (replacing oil)</w:t>
      </w:r>
      <w:r w:rsidR="00D72660">
        <w:rPr>
          <w:lang w:val="en-US"/>
        </w:rPr>
        <w:t xml:space="preserve"> and in remote </w:t>
      </w:r>
      <w:r w:rsidR="00C23F6E">
        <w:rPr>
          <w:lang w:val="en-US"/>
        </w:rPr>
        <w:t>power</w:t>
      </w:r>
      <w:r w:rsidR="003F77D8">
        <w:rPr>
          <w:lang w:val="en-US"/>
        </w:rPr>
        <w:t xml:space="preserve"> production</w:t>
      </w:r>
      <w:r w:rsidR="00C23F6E">
        <w:rPr>
          <w:lang w:val="en-US"/>
        </w:rPr>
        <w:t xml:space="preserve"> (replacing diesel), just to mention a few</w:t>
      </w:r>
      <w:r w:rsidR="00D72660">
        <w:rPr>
          <w:lang w:val="en-US"/>
        </w:rPr>
        <w:t xml:space="preserve">. </w:t>
      </w:r>
    </w:p>
    <w:p w:rsidR="008218B6" w:rsidRDefault="008218B6" w:rsidP="003A7227">
      <w:pPr>
        <w:ind w:firstLine="708"/>
        <w:rPr>
          <w:lang w:val="en-US"/>
        </w:rPr>
      </w:pPr>
      <w:r w:rsidRPr="008218B6">
        <w:rPr>
          <w:b/>
          <w:lang w:val="en-US"/>
        </w:rPr>
        <w:t>Mr. Sanjeev Gupta</w:t>
      </w:r>
      <w:r>
        <w:rPr>
          <w:lang w:val="en-US"/>
        </w:rPr>
        <w:t xml:space="preserve"> (E&amp;Y) described </w:t>
      </w:r>
      <w:r w:rsidR="009720BE">
        <w:rPr>
          <w:lang w:val="en-US"/>
        </w:rPr>
        <w:t xml:space="preserve">some of </w:t>
      </w:r>
      <w:r>
        <w:rPr>
          <w:lang w:val="en-US"/>
        </w:rPr>
        <w:t xml:space="preserve">the most important statistics on the oil and </w:t>
      </w:r>
      <w:r w:rsidR="00897FF0">
        <w:rPr>
          <w:lang w:val="en-US"/>
        </w:rPr>
        <w:t xml:space="preserve">gas </w:t>
      </w:r>
      <w:r>
        <w:rPr>
          <w:lang w:val="en-US"/>
        </w:rPr>
        <w:t xml:space="preserve">transactions registered in 2013. The overall activity slowed down significantly after a record high of </w:t>
      </w:r>
      <w:r w:rsidR="00897FF0">
        <w:rPr>
          <w:lang w:val="en-US"/>
        </w:rPr>
        <w:t xml:space="preserve">US$ 423 billion </w:t>
      </w:r>
      <w:r>
        <w:rPr>
          <w:lang w:val="en-US"/>
        </w:rPr>
        <w:t>in 2012</w:t>
      </w:r>
      <w:r w:rsidR="00897FF0">
        <w:rPr>
          <w:lang w:val="en-US"/>
        </w:rPr>
        <w:t>, registered along approximately 1800 transactions</w:t>
      </w:r>
      <w:r>
        <w:rPr>
          <w:lang w:val="en-US"/>
        </w:rPr>
        <w:t xml:space="preserve">. </w:t>
      </w:r>
      <w:r w:rsidR="009720BE">
        <w:rPr>
          <w:lang w:val="en-US"/>
        </w:rPr>
        <w:t xml:space="preserve">Asset deals continued to dominate the market, driven by </w:t>
      </w:r>
      <w:r w:rsidR="00F747D2">
        <w:rPr>
          <w:lang w:val="en-US"/>
        </w:rPr>
        <w:t xml:space="preserve">the </w:t>
      </w:r>
      <w:r w:rsidR="009720BE">
        <w:rPr>
          <w:lang w:val="en-US"/>
        </w:rPr>
        <w:t xml:space="preserve">acquisitions performed by NOCs and </w:t>
      </w:r>
      <w:r w:rsidR="00F747D2">
        <w:rPr>
          <w:lang w:val="en-US"/>
        </w:rPr>
        <w:t>changes</w:t>
      </w:r>
      <w:r w:rsidR="009720BE">
        <w:rPr>
          <w:lang w:val="en-US"/>
        </w:rPr>
        <w:t xml:space="preserve"> in North America</w:t>
      </w:r>
      <w:r w:rsidR="00F747D2">
        <w:rPr>
          <w:lang w:val="en-US"/>
        </w:rPr>
        <w:t xml:space="preserve"> </w:t>
      </w:r>
      <w:r w:rsidR="009720BE">
        <w:rPr>
          <w:lang w:val="en-US"/>
        </w:rPr>
        <w:t xml:space="preserve">due to </w:t>
      </w:r>
      <w:r w:rsidR="00F747D2">
        <w:rPr>
          <w:lang w:val="en-US"/>
        </w:rPr>
        <w:t xml:space="preserve">the production of </w:t>
      </w:r>
      <w:proofErr w:type="spellStart"/>
      <w:r w:rsidR="009720BE">
        <w:rPr>
          <w:lang w:val="en-US"/>
        </w:rPr>
        <w:t>unconventionals</w:t>
      </w:r>
      <w:proofErr w:type="spellEnd"/>
      <w:r w:rsidR="00F747D2">
        <w:rPr>
          <w:lang w:val="en-US"/>
        </w:rPr>
        <w:t>.</w:t>
      </w:r>
      <w:r w:rsidR="009720BE">
        <w:rPr>
          <w:lang w:val="en-US"/>
        </w:rPr>
        <w:t xml:space="preserve"> In the upstream segment</w:t>
      </w:r>
      <w:r w:rsidR="00F747D2">
        <w:rPr>
          <w:lang w:val="en-US"/>
        </w:rPr>
        <w:t xml:space="preserve"> a</w:t>
      </w:r>
      <w:r w:rsidR="009720BE">
        <w:rPr>
          <w:lang w:val="en-US"/>
        </w:rPr>
        <w:t xml:space="preserve"> decline was observed</w:t>
      </w:r>
      <w:r w:rsidR="00F747D2">
        <w:rPr>
          <w:lang w:val="en-US"/>
        </w:rPr>
        <w:t xml:space="preserve"> mostly</w:t>
      </w:r>
      <w:r w:rsidR="009720BE">
        <w:rPr>
          <w:lang w:val="en-US"/>
        </w:rPr>
        <w:t xml:space="preserve"> in</w:t>
      </w:r>
      <w:r w:rsidR="00F747D2">
        <w:rPr>
          <w:lang w:val="en-US"/>
        </w:rPr>
        <w:t xml:space="preserve"> Australia,</w:t>
      </w:r>
      <w:r w:rsidR="009720BE">
        <w:rPr>
          <w:lang w:val="en-US"/>
        </w:rPr>
        <w:t xml:space="preserve"> </w:t>
      </w:r>
      <w:r w:rsidR="00F747D2">
        <w:rPr>
          <w:lang w:val="en-US"/>
        </w:rPr>
        <w:t>Canada and the USA</w:t>
      </w:r>
      <w:r w:rsidR="009720BE">
        <w:rPr>
          <w:lang w:val="en-US"/>
        </w:rPr>
        <w:t xml:space="preserve">, </w:t>
      </w:r>
      <w:r w:rsidR="00F747D2">
        <w:rPr>
          <w:lang w:val="en-US"/>
        </w:rPr>
        <w:t>while significant</w:t>
      </w:r>
      <w:r w:rsidR="009720BE">
        <w:rPr>
          <w:lang w:val="en-US"/>
        </w:rPr>
        <w:t xml:space="preserve"> growth was registered in Africa, Latin America</w:t>
      </w:r>
      <w:r w:rsidR="00F747D2">
        <w:rPr>
          <w:lang w:val="en-US"/>
        </w:rPr>
        <w:t xml:space="preserve"> and</w:t>
      </w:r>
      <w:r w:rsidR="009720BE">
        <w:rPr>
          <w:lang w:val="en-US"/>
        </w:rPr>
        <w:t xml:space="preserve"> the CIS. </w:t>
      </w:r>
      <w:r w:rsidR="00F747D2">
        <w:rPr>
          <w:lang w:val="en-US"/>
        </w:rPr>
        <w:t>The most significant decline was observed in the downstream segment, while the midstream registered a 17% increase in value</w:t>
      </w:r>
      <w:r w:rsidR="0052209E">
        <w:rPr>
          <w:lang w:val="en-US"/>
        </w:rPr>
        <w:t>, the top four of them being gas related</w:t>
      </w:r>
      <w:r w:rsidR="00F747D2">
        <w:rPr>
          <w:lang w:val="en-US"/>
        </w:rPr>
        <w:t>.</w:t>
      </w:r>
      <w:r w:rsidR="0052209E">
        <w:rPr>
          <w:lang w:val="en-US"/>
        </w:rPr>
        <w:t xml:space="preserve"> In the near future Africa could be a game changer, driven by the gas discoveries </w:t>
      </w:r>
      <w:r w:rsidR="003F77D8">
        <w:rPr>
          <w:lang w:val="en-US"/>
        </w:rPr>
        <w:t xml:space="preserve">in </w:t>
      </w:r>
      <w:r w:rsidR="0052209E">
        <w:rPr>
          <w:lang w:val="en-US"/>
        </w:rPr>
        <w:t xml:space="preserve">Mozambique and Tanzania. </w:t>
      </w:r>
    </w:p>
    <w:p w:rsidR="003F77D8" w:rsidRDefault="003F77D8" w:rsidP="003A7227">
      <w:pPr>
        <w:ind w:firstLine="708"/>
        <w:rPr>
          <w:lang w:val="en-US"/>
        </w:rPr>
      </w:pPr>
      <w:r w:rsidRPr="003F77D8">
        <w:rPr>
          <w:b/>
          <w:lang w:val="en-US"/>
        </w:rPr>
        <w:t>Mr. Ross McVey</w:t>
      </w:r>
      <w:r>
        <w:rPr>
          <w:lang w:val="en-US"/>
        </w:rPr>
        <w:t xml:space="preserve"> (Gazprom M&amp;T) </w:t>
      </w:r>
      <w:r w:rsidR="00DB5D8A">
        <w:rPr>
          <w:lang w:val="en-US"/>
        </w:rPr>
        <w:t>examined</w:t>
      </w:r>
      <w:r w:rsidR="00E03EA7">
        <w:rPr>
          <w:lang w:val="en-US"/>
        </w:rPr>
        <w:t xml:space="preserve"> the European</w:t>
      </w:r>
      <w:r w:rsidR="00DB5D8A">
        <w:rPr>
          <w:lang w:val="en-US"/>
        </w:rPr>
        <w:t xml:space="preserve"> gas to power demand, which is very sensitive to fuel pricing. Four consecutive years of decline has been registered now, with a total drop of nearly 50 </w:t>
      </w:r>
      <w:proofErr w:type="spellStart"/>
      <w:r w:rsidR="00DB5D8A">
        <w:rPr>
          <w:lang w:val="en-US"/>
        </w:rPr>
        <w:t>bcm</w:t>
      </w:r>
      <w:proofErr w:type="spellEnd"/>
      <w:r w:rsidR="00DB5D8A">
        <w:rPr>
          <w:lang w:val="en-US"/>
        </w:rPr>
        <w:t>, mainly because of coal. Forecasting is more complex now, and the growth of renewables is adding significant to the equation, as in the vast majority of the cases the</w:t>
      </w:r>
      <w:r w:rsidR="002F5789">
        <w:rPr>
          <w:lang w:val="en-US"/>
        </w:rPr>
        <w:t>ir</w:t>
      </w:r>
      <w:r w:rsidR="00DB5D8A">
        <w:rPr>
          <w:lang w:val="en-US"/>
        </w:rPr>
        <w:t xml:space="preserve"> supply is intermittent</w:t>
      </w:r>
      <w:r w:rsidR="002F5789">
        <w:rPr>
          <w:lang w:val="en-US"/>
        </w:rPr>
        <w:t>,</w:t>
      </w:r>
      <w:r w:rsidR="00DB5D8A">
        <w:rPr>
          <w:lang w:val="en-US"/>
        </w:rPr>
        <w:t xml:space="preserve"> unpredictable in nature</w:t>
      </w:r>
      <w:r w:rsidR="002F5789">
        <w:rPr>
          <w:lang w:val="en-US"/>
        </w:rPr>
        <w:t xml:space="preserve"> and mandatory</w:t>
      </w:r>
      <w:r w:rsidR="00DB5D8A">
        <w:rPr>
          <w:lang w:val="en-US"/>
        </w:rPr>
        <w:t>.</w:t>
      </w:r>
      <w:r w:rsidR="006237A3">
        <w:rPr>
          <w:lang w:val="en-US"/>
        </w:rPr>
        <w:t xml:space="preserve"> </w:t>
      </w:r>
      <w:r w:rsidR="002F5789">
        <w:rPr>
          <w:lang w:val="en-US"/>
        </w:rPr>
        <w:t xml:space="preserve">As a </w:t>
      </w:r>
      <w:r w:rsidR="002F5789">
        <w:rPr>
          <w:lang w:val="en-US"/>
        </w:rPr>
        <w:lastRenderedPageBreak/>
        <w:t xml:space="preserve">consequence, increasing amounts of system flexibility have been required, which are likely to be obtained from gas. </w:t>
      </w:r>
    </w:p>
    <w:p w:rsidR="006E4116" w:rsidRDefault="009D00D9" w:rsidP="003A7227">
      <w:pPr>
        <w:ind w:firstLine="708"/>
        <w:rPr>
          <w:lang w:val="en-US"/>
        </w:rPr>
      </w:pPr>
      <w:r w:rsidRPr="003D6170">
        <w:rPr>
          <w:b/>
          <w:lang w:val="en-US"/>
        </w:rPr>
        <w:t xml:space="preserve">Mr. </w:t>
      </w:r>
      <w:proofErr w:type="spellStart"/>
      <w:r w:rsidRPr="003D6170">
        <w:rPr>
          <w:b/>
          <w:lang w:val="en-US"/>
        </w:rPr>
        <w:t>Jaishankar</w:t>
      </w:r>
      <w:proofErr w:type="spellEnd"/>
      <w:r w:rsidRPr="003D6170">
        <w:rPr>
          <w:b/>
          <w:lang w:val="en-US"/>
        </w:rPr>
        <w:t xml:space="preserve"> Krishnamurthy</w:t>
      </w:r>
      <w:r>
        <w:rPr>
          <w:lang w:val="en-US"/>
        </w:rPr>
        <w:t xml:space="preserve"> (E&amp;Y)</w:t>
      </w:r>
      <w:r w:rsidR="003D6170">
        <w:rPr>
          <w:lang w:val="en-US"/>
        </w:rPr>
        <w:t xml:space="preserve"> presented on the pricing implications of the new supply and demand scenario </w:t>
      </w:r>
      <w:r w:rsidR="006A5F53">
        <w:rPr>
          <w:lang w:val="en-US"/>
        </w:rPr>
        <w:t>for global</w:t>
      </w:r>
      <w:r w:rsidR="003D6170">
        <w:rPr>
          <w:lang w:val="en-US"/>
        </w:rPr>
        <w:t xml:space="preserve"> LNG operations</w:t>
      </w:r>
      <w:r w:rsidR="006A5F53">
        <w:rPr>
          <w:lang w:val="en-US"/>
        </w:rPr>
        <w:t xml:space="preserve">. These </w:t>
      </w:r>
      <w:r w:rsidR="003D6170">
        <w:rPr>
          <w:lang w:val="en-US"/>
        </w:rPr>
        <w:t>are expected to increase at a 4% yearly rate</w:t>
      </w:r>
      <w:r w:rsidR="006A5F53">
        <w:rPr>
          <w:lang w:val="en-US"/>
        </w:rPr>
        <w:t>, but</w:t>
      </w:r>
      <w:r w:rsidR="003D6170">
        <w:rPr>
          <w:lang w:val="en-US"/>
        </w:rPr>
        <w:t xml:space="preserve"> uncertainties in the medium term demand</w:t>
      </w:r>
      <w:r w:rsidR="00BB2BC6">
        <w:rPr>
          <w:lang w:val="en-US"/>
        </w:rPr>
        <w:t xml:space="preserve">, </w:t>
      </w:r>
      <w:r w:rsidR="006A5F53">
        <w:rPr>
          <w:lang w:val="en-US"/>
        </w:rPr>
        <w:t>which are notable in</w:t>
      </w:r>
      <w:r w:rsidR="00BB2BC6">
        <w:rPr>
          <w:lang w:val="en-US"/>
        </w:rPr>
        <w:t xml:space="preserve"> China,</w:t>
      </w:r>
      <w:r w:rsidR="003D6170">
        <w:rPr>
          <w:lang w:val="en-US"/>
        </w:rPr>
        <w:t xml:space="preserve"> are causing a delay in new projects. </w:t>
      </w:r>
      <w:r w:rsidR="00BB2BC6">
        <w:rPr>
          <w:lang w:val="en-US"/>
        </w:rPr>
        <w:t>In addition to that, the restart of nuclear power in Japan could cause a significant drop in LNG prices</w:t>
      </w:r>
      <w:r w:rsidR="0090103C">
        <w:rPr>
          <w:lang w:val="en-US"/>
        </w:rPr>
        <w:t>, and a</w:t>
      </w:r>
      <w:r w:rsidR="006A5F53">
        <w:rPr>
          <w:lang w:val="en-US"/>
        </w:rPr>
        <w:t xml:space="preserve">dditional uncertainties </w:t>
      </w:r>
      <w:r w:rsidR="0090103C">
        <w:rPr>
          <w:lang w:val="en-US"/>
        </w:rPr>
        <w:t xml:space="preserve">subsist in </w:t>
      </w:r>
      <w:r w:rsidR="006A5F53">
        <w:rPr>
          <w:lang w:val="en-US"/>
        </w:rPr>
        <w:t xml:space="preserve">the US exportation projects, Australia, Canada, East Africa and Russia, as indicated in his presentation. </w:t>
      </w:r>
      <w:r w:rsidR="0090103C">
        <w:rPr>
          <w:lang w:val="en-US"/>
        </w:rPr>
        <w:t>B</w:t>
      </w:r>
      <w:r w:rsidR="006A5F53">
        <w:rPr>
          <w:lang w:val="en-US"/>
        </w:rPr>
        <w:t>uyers will seek for</w:t>
      </w:r>
      <w:r w:rsidR="00A14CFC">
        <w:rPr>
          <w:lang w:val="en-US"/>
        </w:rPr>
        <w:t xml:space="preserve"> additional</w:t>
      </w:r>
      <w:r w:rsidR="006A5F53">
        <w:rPr>
          <w:lang w:val="en-US"/>
        </w:rPr>
        <w:t xml:space="preserve"> equity in LNG plants, geographic </w:t>
      </w:r>
      <w:r w:rsidR="004D7A96">
        <w:rPr>
          <w:lang w:val="en-US"/>
        </w:rPr>
        <w:t>diversification</w:t>
      </w:r>
      <w:r w:rsidR="006A5F53">
        <w:rPr>
          <w:lang w:val="en-US"/>
        </w:rPr>
        <w:t xml:space="preserve"> and contractual flexibility.</w:t>
      </w:r>
    </w:p>
    <w:p w:rsidR="00161513" w:rsidRDefault="00161513" w:rsidP="003A7227">
      <w:pPr>
        <w:ind w:firstLine="708"/>
        <w:rPr>
          <w:lang w:val="en-US"/>
        </w:rPr>
      </w:pPr>
      <w:r w:rsidRPr="00161513">
        <w:rPr>
          <w:b/>
          <w:lang w:val="en-US"/>
        </w:rPr>
        <w:t>M</w:t>
      </w:r>
      <w:r>
        <w:rPr>
          <w:b/>
          <w:lang w:val="en-US"/>
        </w:rPr>
        <w:t>s</w:t>
      </w:r>
      <w:r w:rsidRPr="00161513">
        <w:rPr>
          <w:b/>
          <w:lang w:val="en-US"/>
        </w:rPr>
        <w:t xml:space="preserve">. Leslie </w:t>
      </w:r>
      <w:proofErr w:type="spellStart"/>
      <w:r w:rsidRPr="00161513">
        <w:rPr>
          <w:b/>
          <w:lang w:val="en-US"/>
        </w:rPr>
        <w:t>Palti</w:t>
      </w:r>
      <w:proofErr w:type="spellEnd"/>
      <w:r w:rsidRPr="00161513">
        <w:rPr>
          <w:b/>
          <w:lang w:val="en-US"/>
        </w:rPr>
        <w:t>-Guzman</w:t>
      </w:r>
      <w:r>
        <w:rPr>
          <w:lang w:val="en-US"/>
        </w:rPr>
        <w:t xml:space="preserve"> (Eurasia Group) listed some key challenges </w:t>
      </w:r>
      <w:r w:rsidR="00F56B57">
        <w:rPr>
          <w:lang w:val="en-US"/>
        </w:rPr>
        <w:t>that</w:t>
      </w:r>
      <w:r>
        <w:rPr>
          <w:lang w:val="en-US"/>
        </w:rPr>
        <w:t xml:space="preserve"> gas buyers</w:t>
      </w:r>
      <w:r w:rsidR="00F56B57">
        <w:rPr>
          <w:lang w:val="en-US"/>
        </w:rPr>
        <w:t xml:space="preserve"> will eventually face</w:t>
      </w:r>
      <w:r>
        <w:rPr>
          <w:lang w:val="en-US"/>
        </w:rPr>
        <w:t xml:space="preserve"> in Asia. The first one is a supply risk caused mostly by domestic </w:t>
      </w:r>
      <w:r w:rsidR="00F56B57">
        <w:rPr>
          <w:lang w:val="en-US"/>
        </w:rPr>
        <w:t>difficulties</w:t>
      </w:r>
      <w:r>
        <w:rPr>
          <w:lang w:val="en-US"/>
        </w:rPr>
        <w:t xml:space="preserve"> in established producing countries such as Qatar, Russia, Nigeria, Indonesia and Egypt, </w:t>
      </w:r>
      <w:r w:rsidR="00F56B57">
        <w:rPr>
          <w:lang w:val="en-US"/>
        </w:rPr>
        <w:t xml:space="preserve">which have been </w:t>
      </w:r>
      <w:r>
        <w:rPr>
          <w:lang w:val="en-US"/>
        </w:rPr>
        <w:t xml:space="preserve">aggravated by </w:t>
      </w:r>
      <w:r w:rsidR="00F56B57">
        <w:rPr>
          <w:lang w:val="en-US"/>
        </w:rPr>
        <w:t xml:space="preserve">the competition from </w:t>
      </w:r>
      <w:r>
        <w:rPr>
          <w:lang w:val="en-US"/>
        </w:rPr>
        <w:t xml:space="preserve">the US shale gas exportation projects. </w:t>
      </w:r>
      <w:r w:rsidR="00F56B57">
        <w:rPr>
          <w:lang w:val="en-US"/>
        </w:rPr>
        <w:t xml:space="preserve">Moving away from oil indexed prices will not be fast, but imports from the US based on the Henry hub may assist buyers towards that purpose. </w:t>
      </w:r>
      <w:r w:rsidR="00DB023D">
        <w:rPr>
          <w:lang w:val="en-US"/>
        </w:rPr>
        <w:t>In that sense, a higher</w:t>
      </w:r>
      <w:r w:rsidR="00F56B57">
        <w:rPr>
          <w:lang w:val="en-US"/>
        </w:rPr>
        <w:t xml:space="preserve"> us</w:t>
      </w:r>
      <w:r w:rsidR="00DB023D">
        <w:rPr>
          <w:lang w:val="en-US"/>
        </w:rPr>
        <w:t>age</w:t>
      </w:r>
      <w:r w:rsidR="00F56B57">
        <w:rPr>
          <w:lang w:val="en-US"/>
        </w:rPr>
        <w:t xml:space="preserve"> of spot indexation has been registered in numerous contracts. </w:t>
      </w:r>
    </w:p>
    <w:p w:rsidR="00A07536" w:rsidRDefault="002F5789" w:rsidP="00E95730">
      <w:pPr>
        <w:ind w:firstLine="708"/>
        <w:rPr>
          <w:lang w:val="en-US"/>
        </w:rPr>
      </w:pPr>
      <w:r>
        <w:rPr>
          <w:b/>
          <w:lang w:val="en-US"/>
        </w:rPr>
        <w:t xml:space="preserve">Mr. </w:t>
      </w:r>
      <w:r w:rsidR="000337F1">
        <w:rPr>
          <w:b/>
          <w:lang w:val="en-US"/>
        </w:rPr>
        <w:t>Georges Liens</w:t>
      </w:r>
      <w:r w:rsidR="00F9641A">
        <w:rPr>
          <w:lang w:val="en-US"/>
        </w:rPr>
        <w:t xml:space="preserve">, </w:t>
      </w:r>
      <w:r w:rsidR="000337F1">
        <w:rPr>
          <w:lang w:val="en-US"/>
        </w:rPr>
        <w:t>Chairman</w:t>
      </w:r>
      <w:r w:rsidR="00F9641A">
        <w:rPr>
          <w:lang w:val="en-US"/>
        </w:rPr>
        <w:t xml:space="preserve"> of the Coordination Committee, </w:t>
      </w:r>
      <w:r w:rsidR="003D1599">
        <w:rPr>
          <w:lang w:val="en-US"/>
        </w:rPr>
        <w:t xml:space="preserve">described the key elements to be settled </w:t>
      </w:r>
      <w:r w:rsidR="00A07536">
        <w:rPr>
          <w:lang w:val="en-US"/>
        </w:rPr>
        <w:t>by</w:t>
      </w:r>
      <w:r w:rsidR="003D1599">
        <w:rPr>
          <w:lang w:val="en-US"/>
        </w:rPr>
        <w:t xml:space="preserve"> the </w:t>
      </w:r>
      <w:r w:rsidR="00A07536">
        <w:rPr>
          <w:lang w:val="en-US"/>
        </w:rPr>
        <w:t xml:space="preserve">working groups in the next couple of weeks, aiming at the publication of the preliminary </w:t>
      </w:r>
      <w:proofErr w:type="spellStart"/>
      <w:r w:rsidR="00A07536">
        <w:rPr>
          <w:lang w:val="en-US"/>
        </w:rPr>
        <w:t>programme</w:t>
      </w:r>
      <w:proofErr w:type="spellEnd"/>
      <w:r w:rsidR="00A07536">
        <w:rPr>
          <w:lang w:val="en-US"/>
        </w:rPr>
        <w:t xml:space="preserve"> for</w:t>
      </w:r>
      <w:r w:rsidR="001176AE">
        <w:rPr>
          <w:lang w:val="en-US"/>
        </w:rPr>
        <w:t xml:space="preserve"> </w:t>
      </w:r>
      <w:r w:rsidR="00A07536">
        <w:rPr>
          <w:lang w:val="en-US"/>
        </w:rPr>
        <w:t xml:space="preserve">WGC 2015. At the moment, the rooms indicated in </w:t>
      </w:r>
      <w:r w:rsidR="000E2162">
        <w:rPr>
          <w:lang w:val="en-US"/>
        </w:rPr>
        <w:fldChar w:fldCharType="begin"/>
      </w:r>
      <w:r w:rsidR="000E2162">
        <w:rPr>
          <w:lang w:val="en-US"/>
        </w:rPr>
        <w:instrText xml:space="preserve"> REF _Ref383013342 \h </w:instrText>
      </w:r>
      <w:r w:rsidR="000E2162">
        <w:rPr>
          <w:lang w:val="en-US"/>
        </w:rPr>
      </w:r>
      <w:r w:rsidR="000E2162">
        <w:rPr>
          <w:lang w:val="en-US"/>
        </w:rPr>
        <w:fldChar w:fldCharType="separate"/>
      </w:r>
      <w:r w:rsidR="000E2162" w:rsidRPr="00C763ED">
        <w:rPr>
          <w:lang w:val="en-GB"/>
        </w:rPr>
        <w:t xml:space="preserve">Table </w:t>
      </w:r>
      <w:r w:rsidR="000E2162" w:rsidRPr="00C763ED">
        <w:rPr>
          <w:noProof/>
          <w:lang w:val="en-GB"/>
        </w:rPr>
        <w:t>2</w:t>
      </w:r>
      <w:r w:rsidR="000E2162">
        <w:rPr>
          <w:lang w:val="en-US"/>
        </w:rPr>
        <w:fldChar w:fldCharType="end"/>
      </w:r>
      <w:r w:rsidR="000E2162">
        <w:rPr>
          <w:lang w:val="en-US"/>
        </w:rPr>
        <w:t xml:space="preserve"> </w:t>
      </w:r>
      <w:r w:rsidR="00A07536">
        <w:rPr>
          <w:lang w:val="en-US"/>
        </w:rPr>
        <w:t>have been allocated to the sessions of WOC 1</w:t>
      </w:r>
      <w:r w:rsidR="00495194">
        <w:rPr>
          <w:lang w:val="en-US"/>
        </w:rPr>
        <w:t xml:space="preserve">. </w:t>
      </w:r>
      <w:r w:rsidR="00CF1307">
        <w:rPr>
          <w:lang w:val="en-US"/>
        </w:rPr>
        <w:t>T</w:t>
      </w:r>
      <w:r w:rsidR="00495194">
        <w:rPr>
          <w:lang w:val="en-US"/>
        </w:rPr>
        <w:t>he</w:t>
      </w:r>
      <w:r w:rsidR="000E2162">
        <w:rPr>
          <w:lang w:val="en-US"/>
        </w:rPr>
        <w:t xml:space="preserve"> arrangement differs</w:t>
      </w:r>
      <w:r w:rsidR="00495194">
        <w:rPr>
          <w:lang w:val="en-US"/>
        </w:rPr>
        <w:t xml:space="preserve"> slightly</w:t>
      </w:r>
      <w:r w:rsidR="000E2162">
        <w:rPr>
          <w:lang w:val="en-US"/>
        </w:rPr>
        <w:t xml:space="preserve"> from the </w:t>
      </w:r>
      <w:r w:rsidR="00750D33">
        <w:rPr>
          <w:lang w:val="en-US"/>
        </w:rPr>
        <w:t>original</w:t>
      </w:r>
      <w:r w:rsidR="000E2162">
        <w:rPr>
          <w:lang w:val="en-US"/>
        </w:rPr>
        <w:t xml:space="preserve"> request</w:t>
      </w:r>
      <w:r w:rsidR="00750D33">
        <w:rPr>
          <w:lang w:val="en-US"/>
        </w:rPr>
        <w:t xml:space="preserve"> formulated by the committee</w:t>
      </w:r>
      <w:r w:rsidR="00EB63B1">
        <w:rPr>
          <w:lang w:val="en-US"/>
        </w:rPr>
        <w:t xml:space="preserve">, but </w:t>
      </w:r>
      <w:r w:rsidR="00A07536">
        <w:rPr>
          <w:lang w:val="en-US"/>
        </w:rPr>
        <w:t>a revision will be performed after the call for papers, when a better idea of the potential attendance</w:t>
      </w:r>
      <w:r w:rsidR="00750D33">
        <w:rPr>
          <w:lang w:val="en-US"/>
        </w:rPr>
        <w:t xml:space="preserve"> for each of the</w:t>
      </w:r>
      <w:r w:rsidR="001176AE">
        <w:rPr>
          <w:lang w:val="en-US"/>
        </w:rPr>
        <w:t>se</w:t>
      </w:r>
      <w:r w:rsidR="00750D33">
        <w:rPr>
          <w:lang w:val="en-US"/>
        </w:rPr>
        <w:t xml:space="preserve"> sessions</w:t>
      </w:r>
      <w:r w:rsidR="00A07536">
        <w:rPr>
          <w:lang w:val="en-US"/>
        </w:rPr>
        <w:t xml:space="preserve"> will be available.</w:t>
      </w:r>
    </w:p>
    <w:p w:rsidR="00C763ED" w:rsidRPr="00C763ED" w:rsidRDefault="00C763ED" w:rsidP="00C763ED">
      <w:pPr>
        <w:pStyle w:val="Legenda"/>
        <w:keepNext/>
        <w:rPr>
          <w:lang w:val="en-GB"/>
        </w:rPr>
      </w:pPr>
      <w:bookmarkStart w:id="1" w:name="_Ref383013342"/>
      <w:proofErr w:type="gramStart"/>
      <w:r w:rsidRPr="00C763ED">
        <w:rPr>
          <w:lang w:val="en-GB"/>
        </w:rPr>
        <w:t xml:space="preserve">Table </w:t>
      </w:r>
      <w:r>
        <w:fldChar w:fldCharType="begin"/>
      </w:r>
      <w:r w:rsidRPr="00C763ED">
        <w:rPr>
          <w:lang w:val="en-GB"/>
        </w:rPr>
        <w:instrText xml:space="preserve"> SEQ Table \* ARABIC </w:instrText>
      </w:r>
      <w:r>
        <w:fldChar w:fldCharType="separate"/>
      </w:r>
      <w:r w:rsidRPr="00C763ED">
        <w:rPr>
          <w:noProof/>
          <w:lang w:val="en-GB"/>
        </w:rPr>
        <w:t>2</w:t>
      </w:r>
      <w:r>
        <w:fldChar w:fldCharType="end"/>
      </w:r>
      <w:bookmarkEnd w:id="1"/>
      <w:r w:rsidRPr="00C763ED">
        <w:rPr>
          <w:lang w:val="en-GB"/>
        </w:rPr>
        <w:t>.</w:t>
      </w:r>
      <w:proofErr w:type="gramEnd"/>
      <w:r w:rsidRPr="00C763ED">
        <w:rPr>
          <w:lang w:val="en-GB"/>
        </w:rPr>
        <w:t xml:space="preserve"> </w:t>
      </w:r>
      <w:proofErr w:type="gramStart"/>
      <w:r w:rsidRPr="00C763ED">
        <w:rPr>
          <w:lang w:val="en-GB"/>
        </w:rPr>
        <w:t xml:space="preserve">WOC 1 sessions at </w:t>
      </w:r>
      <w:r w:rsidR="008920E1">
        <w:rPr>
          <w:lang w:val="en-GB"/>
        </w:rPr>
        <w:t xml:space="preserve">the </w:t>
      </w:r>
      <w:r w:rsidRPr="00C763ED">
        <w:rPr>
          <w:lang w:val="en-GB"/>
        </w:rPr>
        <w:t>WGC 2015.</w:t>
      </w:r>
      <w:proofErr w:type="gramEnd"/>
    </w:p>
    <w:tbl>
      <w:tblPr>
        <w:tblStyle w:val="SombreamentoMdio1-nfase1"/>
        <w:tblW w:w="0" w:type="auto"/>
        <w:tblBorders>
          <w:insideH w:val="none" w:sz="0" w:space="0" w:color="auto"/>
          <w:insideV w:val="single" w:sz="8" w:space="0" w:color="7BA0CD" w:themeColor="accent1" w:themeTint="BF"/>
        </w:tblBorders>
        <w:tblLook w:val="04A0" w:firstRow="1" w:lastRow="0" w:firstColumn="1" w:lastColumn="0" w:noHBand="0" w:noVBand="1"/>
      </w:tblPr>
      <w:tblGrid>
        <w:gridCol w:w="1526"/>
        <w:gridCol w:w="3032"/>
        <w:gridCol w:w="1787"/>
        <w:gridCol w:w="2375"/>
      </w:tblGrid>
      <w:tr w:rsidR="00247FF8" w:rsidTr="00247F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Borders>
              <w:top w:val="none" w:sz="0" w:space="0" w:color="auto"/>
              <w:left w:val="none" w:sz="0" w:space="0" w:color="auto"/>
              <w:bottom w:val="none" w:sz="0" w:space="0" w:color="auto"/>
              <w:right w:val="none" w:sz="0" w:space="0" w:color="auto"/>
            </w:tcBorders>
          </w:tcPr>
          <w:p w:rsidR="00C763ED" w:rsidRDefault="00C763ED" w:rsidP="00247FF8">
            <w:pPr>
              <w:keepNext/>
              <w:keepLines/>
              <w:jc w:val="center"/>
              <w:rPr>
                <w:lang w:val="en-US"/>
              </w:rPr>
            </w:pPr>
            <w:r>
              <w:rPr>
                <w:lang w:val="en-US"/>
              </w:rPr>
              <w:t>Day (time)</w:t>
            </w:r>
          </w:p>
        </w:tc>
        <w:tc>
          <w:tcPr>
            <w:tcW w:w="3032" w:type="dxa"/>
            <w:tcBorders>
              <w:top w:val="none" w:sz="0" w:space="0" w:color="auto"/>
              <w:left w:val="none" w:sz="0" w:space="0" w:color="auto"/>
              <w:bottom w:val="none" w:sz="0" w:space="0" w:color="auto"/>
              <w:right w:val="none" w:sz="0" w:space="0" w:color="auto"/>
            </w:tcBorders>
          </w:tcPr>
          <w:p w:rsidR="00C763ED" w:rsidRDefault="00C763ED" w:rsidP="008610A4">
            <w:pPr>
              <w:keepNext/>
              <w:keepLines/>
              <w:cnfStyle w:val="100000000000" w:firstRow="1" w:lastRow="0" w:firstColumn="0" w:lastColumn="0" w:oddVBand="0" w:evenVBand="0" w:oddHBand="0" w:evenHBand="0" w:firstRowFirstColumn="0" w:firstRowLastColumn="0" w:lastRowFirstColumn="0" w:lastRowLastColumn="0"/>
              <w:rPr>
                <w:lang w:val="en-US"/>
              </w:rPr>
            </w:pPr>
            <w:r>
              <w:rPr>
                <w:lang w:val="en-US"/>
              </w:rPr>
              <w:t>Session</w:t>
            </w:r>
            <w:r w:rsidR="008610A4">
              <w:rPr>
                <w:lang w:val="en-US"/>
              </w:rPr>
              <w:t xml:space="preserve"> name (number)</w:t>
            </w:r>
          </w:p>
        </w:tc>
        <w:tc>
          <w:tcPr>
            <w:tcW w:w="1787" w:type="dxa"/>
            <w:tcBorders>
              <w:top w:val="none" w:sz="0" w:space="0" w:color="auto"/>
              <w:left w:val="none" w:sz="0" w:space="0" w:color="auto"/>
              <w:bottom w:val="none" w:sz="0" w:space="0" w:color="auto"/>
              <w:right w:val="none" w:sz="0" w:space="0" w:color="auto"/>
            </w:tcBorders>
          </w:tcPr>
          <w:p w:rsidR="00C763ED" w:rsidRDefault="00C763ED" w:rsidP="00247FF8">
            <w:pPr>
              <w:keepNext/>
              <w:keepLines/>
              <w:cnfStyle w:val="100000000000" w:firstRow="1" w:lastRow="0" w:firstColumn="0" w:lastColumn="0" w:oddVBand="0" w:evenVBand="0" w:oddHBand="0" w:evenHBand="0" w:firstRowFirstColumn="0" w:firstRowLastColumn="0" w:lastRowFirstColumn="0" w:lastRowLastColumn="0"/>
              <w:rPr>
                <w:lang w:val="en-US"/>
              </w:rPr>
            </w:pPr>
            <w:r>
              <w:rPr>
                <w:lang w:val="en-US"/>
              </w:rPr>
              <w:t>Venue (capacity)</w:t>
            </w:r>
          </w:p>
        </w:tc>
        <w:tc>
          <w:tcPr>
            <w:tcW w:w="2375" w:type="dxa"/>
            <w:tcBorders>
              <w:top w:val="none" w:sz="0" w:space="0" w:color="auto"/>
              <w:left w:val="none" w:sz="0" w:space="0" w:color="auto"/>
              <w:bottom w:val="none" w:sz="0" w:space="0" w:color="auto"/>
              <w:right w:val="none" w:sz="0" w:space="0" w:color="auto"/>
            </w:tcBorders>
          </w:tcPr>
          <w:p w:rsidR="00C763ED" w:rsidRDefault="00C763ED" w:rsidP="00247FF8">
            <w:pPr>
              <w:keepNext/>
              <w:keepLines/>
              <w:cnfStyle w:val="100000000000" w:firstRow="1" w:lastRow="0" w:firstColumn="0" w:lastColumn="0" w:oddVBand="0" w:evenVBand="0" w:oddHBand="0" w:evenHBand="0" w:firstRowFirstColumn="0" w:firstRowLastColumn="0" w:lastRowFirstColumn="0" w:lastRowLastColumn="0"/>
              <w:rPr>
                <w:lang w:val="en-US"/>
              </w:rPr>
            </w:pPr>
            <w:r>
              <w:rPr>
                <w:lang w:val="en-US"/>
              </w:rPr>
              <w:t>Chair</w:t>
            </w:r>
            <w:r w:rsidR="00247FF8">
              <w:rPr>
                <w:lang w:val="en-US"/>
              </w:rPr>
              <w:t>men</w:t>
            </w:r>
          </w:p>
        </w:tc>
      </w:tr>
      <w:tr w:rsidR="00247FF8" w:rsidRPr="00E95730" w:rsidTr="00247F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Borders>
              <w:right w:val="none" w:sz="0" w:space="0" w:color="auto"/>
            </w:tcBorders>
            <w:vAlign w:val="center"/>
          </w:tcPr>
          <w:p w:rsidR="00C763ED" w:rsidRPr="00C763ED" w:rsidRDefault="00C763ED" w:rsidP="00247FF8">
            <w:pPr>
              <w:keepNext/>
              <w:keepLines/>
              <w:jc w:val="left"/>
              <w:rPr>
                <w:b w:val="0"/>
                <w:lang w:val="en-US"/>
              </w:rPr>
            </w:pPr>
            <w:r w:rsidRPr="00C763ED">
              <w:rPr>
                <w:b w:val="0"/>
                <w:lang w:val="en-US"/>
              </w:rPr>
              <w:t>Tue 2</w:t>
            </w:r>
            <w:r w:rsidRPr="00C763ED">
              <w:rPr>
                <w:b w:val="0"/>
                <w:vertAlign w:val="superscript"/>
                <w:lang w:val="en-US"/>
              </w:rPr>
              <w:t>nd</w:t>
            </w:r>
            <w:r w:rsidRPr="00C763ED">
              <w:rPr>
                <w:b w:val="0"/>
                <w:lang w:val="en-US"/>
              </w:rPr>
              <w:t xml:space="preserve"> June</w:t>
            </w:r>
          </w:p>
          <w:p w:rsidR="00C763ED" w:rsidRPr="00C763ED" w:rsidRDefault="00C763ED" w:rsidP="00247FF8">
            <w:pPr>
              <w:keepNext/>
              <w:keepLines/>
              <w:jc w:val="left"/>
              <w:rPr>
                <w:b w:val="0"/>
                <w:lang w:val="en-US"/>
              </w:rPr>
            </w:pPr>
            <w:r w:rsidRPr="00C763ED">
              <w:rPr>
                <w:b w:val="0"/>
                <w:lang w:val="en-US"/>
              </w:rPr>
              <w:t>(15:15-16:45)</w:t>
            </w:r>
          </w:p>
        </w:tc>
        <w:tc>
          <w:tcPr>
            <w:tcW w:w="3032" w:type="dxa"/>
            <w:tcBorders>
              <w:left w:val="none" w:sz="0" w:space="0" w:color="auto"/>
              <w:right w:val="none" w:sz="0" w:space="0" w:color="auto"/>
            </w:tcBorders>
            <w:vAlign w:val="center"/>
          </w:tcPr>
          <w:p w:rsidR="00C763ED" w:rsidRDefault="00C763ED" w:rsidP="00247FF8">
            <w:pPr>
              <w:keepNext/>
              <w:keepLines/>
              <w:jc w:val="left"/>
              <w:cnfStyle w:val="000000100000" w:firstRow="0" w:lastRow="0" w:firstColumn="0" w:lastColumn="0" w:oddVBand="0" w:evenVBand="0" w:oddHBand="1" w:evenHBand="0" w:firstRowFirstColumn="0" w:firstRowLastColumn="0" w:lastRowFirstColumn="0" w:lastRowLastColumn="0"/>
              <w:rPr>
                <w:lang w:val="en-US"/>
              </w:rPr>
            </w:pPr>
            <w:r>
              <w:rPr>
                <w:lang w:val="en-US"/>
              </w:rPr>
              <w:t xml:space="preserve">Gas flaring and venting reduction </w:t>
            </w:r>
          </w:p>
          <w:p w:rsidR="00C763ED" w:rsidRDefault="00C763ED" w:rsidP="008610A4">
            <w:pPr>
              <w:keepNext/>
              <w:keepLines/>
              <w:jc w:val="left"/>
              <w:cnfStyle w:val="000000100000" w:firstRow="0" w:lastRow="0" w:firstColumn="0" w:lastColumn="0" w:oddVBand="0" w:evenVBand="0" w:oddHBand="1" w:evenHBand="0" w:firstRowFirstColumn="0" w:firstRowLastColumn="0" w:lastRowFirstColumn="0" w:lastRowLastColumn="0"/>
              <w:rPr>
                <w:lang w:val="en-US"/>
              </w:rPr>
            </w:pPr>
            <w:r>
              <w:rPr>
                <w:lang w:val="en-US"/>
              </w:rPr>
              <w:t>(strategic panel)</w:t>
            </w:r>
          </w:p>
        </w:tc>
        <w:tc>
          <w:tcPr>
            <w:tcW w:w="1787" w:type="dxa"/>
            <w:tcBorders>
              <w:left w:val="none" w:sz="0" w:space="0" w:color="auto"/>
              <w:right w:val="none" w:sz="0" w:space="0" w:color="auto"/>
            </w:tcBorders>
            <w:vAlign w:val="center"/>
          </w:tcPr>
          <w:p w:rsidR="00C763ED" w:rsidRDefault="00C763ED" w:rsidP="00247FF8">
            <w:pPr>
              <w:keepNext/>
              <w:keepLines/>
              <w:jc w:val="left"/>
              <w:cnfStyle w:val="000000100000" w:firstRow="0" w:lastRow="0" w:firstColumn="0" w:lastColumn="0" w:oddVBand="0" w:evenVBand="0" w:oddHBand="1" w:evenHBand="0" w:firstRowFirstColumn="0" w:firstRowLastColumn="0" w:lastRowFirstColumn="0" w:lastRowLastColumn="0"/>
              <w:rPr>
                <w:lang w:val="en-US"/>
              </w:rPr>
            </w:pPr>
            <w:r>
              <w:rPr>
                <w:lang w:val="en-US"/>
              </w:rPr>
              <w:t>Notre Dame Amphitheater (550)</w:t>
            </w:r>
          </w:p>
        </w:tc>
        <w:tc>
          <w:tcPr>
            <w:tcW w:w="2375" w:type="dxa"/>
            <w:tcBorders>
              <w:left w:val="none" w:sz="0" w:space="0" w:color="auto"/>
            </w:tcBorders>
            <w:vAlign w:val="center"/>
          </w:tcPr>
          <w:p w:rsidR="00C763ED" w:rsidRDefault="008610A4" w:rsidP="00247FF8">
            <w:pPr>
              <w:keepNext/>
              <w:keepLines/>
              <w:jc w:val="left"/>
              <w:cnfStyle w:val="000000100000" w:firstRow="0" w:lastRow="0" w:firstColumn="0" w:lastColumn="0" w:oddVBand="0" w:evenVBand="0" w:oddHBand="1" w:evenHBand="0" w:firstRowFirstColumn="0" w:firstRowLastColumn="0" w:lastRowFirstColumn="0" w:lastRowLastColumn="0"/>
              <w:rPr>
                <w:lang w:val="en-US"/>
              </w:rPr>
            </w:pPr>
            <w:r>
              <w:rPr>
                <w:lang w:val="en-US"/>
              </w:rPr>
              <w:t xml:space="preserve">Bjorn </w:t>
            </w:r>
            <w:proofErr w:type="spellStart"/>
            <w:r>
              <w:rPr>
                <w:lang w:val="en-US"/>
              </w:rPr>
              <w:t>Hamso</w:t>
            </w:r>
            <w:proofErr w:type="spellEnd"/>
            <w:r>
              <w:rPr>
                <w:lang w:val="en-US"/>
              </w:rPr>
              <w:t xml:space="preserve"> (World Bank) and Denis </w:t>
            </w:r>
            <w:proofErr w:type="spellStart"/>
            <w:r>
              <w:rPr>
                <w:lang w:val="en-US"/>
              </w:rPr>
              <w:t>Krambeck</w:t>
            </w:r>
            <w:proofErr w:type="spellEnd"/>
            <w:r>
              <w:rPr>
                <w:lang w:val="en-US"/>
              </w:rPr>
              <w:t xml:space="preserve"> </w:t>
            </w:r>
            <w:proofErr w:type="spellStart"/>
            <w:r>
              <w:rPr>
                <w:lang w:val="en-US"/>
              </w:rPr>
              <w:t>Dinelli</w:t>
            </w:r>
            <w:proofErr w:type="spellEnd"/>
            <w:r>
              <w:rPr>
                <w:lang w:val="en-US"/>
              </w:rPr>
              <w:t xml:space="preserve"> (</w:t>
            </w:r>
            <w:proofErr w:type="spellStart"/>
            <w:r>
              <w:rPr>
                <w:lang w:val="en-US"/>
              </w:rPr>
              <w:t>Petrobras</w:t>
            </w:r>
            <w:proofErr w:type="spellEnd"/>
            <w:r>
              <w:rPr>
                <w:lang w:val="en-US"/>
              </w:rPr>
              <w:t>)</w:t>
            </w:r>
          </w:p>
        </w:tc>
      </w:tr>
      <w:tr w:rsidR="008610A4" w:rsidRPr="008610A4" w:rsidTr="008610A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Borders>
              <w:right w:val="none" w:sz="0" w:space="0" w:color="auto"/>
            </w:tcBorders>
            <w:vAlign w:val="center"/>
          </w:tcPr>
          <w:p w:rsidR="00C763ED" w:rsidRPr="00C763ED" w:rsidRDefault="00C763ED" w:rsidP="00247FF8">
            <w:pPr>
              <w:keepNext/>
              <w:keepLines/>
              <w:jc w:val="left"/>
              <w:rPr>
                <w:b w:val="0"/>
                <w:lang w:val="en-US"/>
              </w:rPr>
            </w:pPr>
            <w:r w:rsidRPr="00C763ED">
              <w:rPr>
                <w:b w:val="0"/>
                <w:lang w:val="en-US"/>
              </w:rPr>
              <w:t>Wed 3</w:t>
            </w:r>
            <w:r w:rsidRPr="00C763ED">
              <w:rPr>
                <w:b w:val="0"/>
                <w:vertAlign w:val="superscript"/>
                <w:lang w:val="en-US"/>
              </w:rPr>
              <w:t>rd</w:t>
            </w:r>
            <w:r w:rsidRPr="00C763ED">
              <w:rPr>
                <w:b w:val="0"/>
                <w:lang w:val="en-US"/>
              </w:rPr>
              <w:t xml:space="preserve"> June</w:t>
            </w:r>
          </w:p>
          <w:p w:rsidR="00C763ED" w:rsidRPr="00C763ED" w:rsidRDefault="00C763ED" w:rsidP="00247FF8">
            <w:pPr>
              <w:keepNext/>
              <w:keepLines/>
              <w:jc w:val="left"/>
              <w:rPr>
                <w:b w:val="0"/>
                <w:lang w:val="en-US"/>
              </w:rPr>
            </w:pPr>
            <w:r w:rsidRPr="00C763ED">
              <w:rPr>
                <w:b w:val="0"/>
                <w:lang w:val="en-US"/>
              </w:rPr>
              <w:t>(8:30-10:00)</w:t>
            </w:r>
          </w:p>
        </w:tc>
        <w:tc>
          <w:tcPr>
            <w:tcW w:w="3032" w:type="dxa"/>
            <w:tcBorders>
              <w:left w:val="none" w:sz="0" w:space="0" w:color="auto"/>
              <w:right w:val="none" w:sz="0" w:space="0" w:color="auto"/>
            </w:tcBorders>
            <w:vAlign w:val="center"/>
          </w:tcPr>
          <w:p w:rsidR="00C763ED" w:rsidRDefault="008610A4" w:rsidP="00247FF8">
            <w:pPr>
              <w:keepNext/>
              <w:keepLines/>
              <w:jc w:val="left"/>
              <w:cnfStyle w:val="000000010000" w:firstRow="0" w:lastRow="0" w:firstColumn="0" w:lastColumn="0" w:oddVBand="0" w:evenVBand="0" w:oddHBand="0" w:evenHBand="1" w:firstRowFirstColumn="0" w:firstRowLastColumn="0" w:lastRowFirstColumn="0" w:lastRowLastColumn="0"/>
              <w:rPr>
                <w:lang w:val="en-US"/>
              </w:rPr>
            </w:pPr>
            <w:r>
              <w:rPr>
                <w:lang w:val="en-US"/>
              </w:rPr>
              <w:t>Gas on gas competition and upstream investment</w:t>
            </w:r>
          </w:p>
          <w:p w:rsidR="00C763ED" w:rsidRDefault="004138C5" w:rsidP="004138C5">
            <w:pPr>
              <w:keepNext/>
              <w:keepLines/>
              <w:jc w:val="left"/>
              <w:cnfStyle w:val="000000010000" w:firstRow="0" w:lastRow="0" w:firstColumn="0" w:lastColumn="0" w:oddVBand="0" w:evenVBand="0" w:oddHBand="0" w:evenHBand="1" w:firstRowFirstColumn="0" w:firstRowLastColumn="0" w:lastRowFirstColumn="0" w:lastRowLastColumn="0"/>
              <w:rPr>
                <w:lang w:val="en-US"/>
              </w:rPr>
            </w:pPr>
            <w:r>
              <w:rPr>
                <w:lang w:val="en-US"/>
              </w:rPr>
              <w:t>(t</w:t>
            </w:r>
            <w:r w:rsidR="00C763ED">
              <w:rPr>
                <w:lang w:val="en-US"/>
              </w:rPr>
              <w:t>hematic session WOC 1.5</w:t>
            </w:r>
            <w:r>
              <w:rPr>
                <w:lang w:val="en-US"/>
              </w:rPr>
              <w:t>)</w:t>
            </w:r>
          </w:p>
        </w:tc>
        <w:tc>
          <w:tcPr>
            <w:tcW w:w="1787" w:type="dxa"/>
            <w:tcBorders>
              <w:left w:val="none" w:sz="0" w:space="0" w:color="auto"/>
              <w:right w:val="none" w:sz="0" w:space="0" w:color="auto"/>
            </w:tcBorders>
            <w:vAlign w:val="center"/>
          </w:tcPr>
          <w:p w:rsidR="00C763ED" w:rsidRDefault="00C763ED" w:rsidP="00247FF8">
            <w:pPr>
              <w:keepNext/>
              <w:keepLines/>
              <w:jc w:val="left"/>
              <w:cnfStyle w:val="000000010000" w:firstRow="0" w:lastRow="0" w:firstColumn="0" w:lastColumn="0" w:oddVBand="0" w:evenVBand="0" w:oddHBand="0" w:evenHBand="1" w:firstRowFirstColumn="0" w:firstRowLastColumn="0" w:lastRowFirstColumn="0" w:lastRowLastColumn="0"/>
              <w:rPr>
                <w:lang w:val="en-US"/>
              </w:rPr>
            </w:pPr>
            <w:r>
              <w:rPr>
                <w:lang w:val="en-US"/>
              </w:rPr>
              <w:t>Tour Eiffel (500)</w:t>
            </w:r>
          </w:p>
        </w:tc>
        <w:tc>
          <w:tcPr>
            <w:tcW w:w="2375" w:type="dxa"/>
            <w:tcBorders>
              <w:left w:val="none" w:sz="0" w:space="0" w:color="auto"/>
            </w:tcBorders>
            <w:vAlign w:val="center"/>
          </w:tcPr>
          <w:p w:rsidR="00C763ED" w:rsidRPr="008610A4" w:rsidRDefault="008610A4" w:rsidP="00247FF8">
            <w:pPr>
              <w:keepNext/>
              <w:keepLines/>
              <w:jc w:val="left"/>
              <w:cnfStyle w:val="000000010000" w:firstRow="0" w:lastRow="0" w:firstColumn="0" w:lastColumn="0" w:oddVBand="0" w:evenVBand="0" w:oddHBand="0" w:evenHBand="1" w:firstRowFirstColumn="0" w:firstRowLastColumn="0" w:lastRowFirstColumn="0" w:lastRowLastColumn="0"/>
            </w:pPr>
            <w:r w:rsidRPr="008610A4">
              <w:t>Marcos de Freitas Sugaya (Petrobras)</w:t>
            </w:r>
          </w:p>
        </w:tc>
      </w:tr>
      <w:tr w:rsidR="00247FF8" w:rsidRPr="00247FF8" w:rsidTr="00247F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Borders>
              <w:right w:val="none" w:sz="0" w:space="0" w:color="auto"/>
            </w:tcBorders>
            <w:vAlign w:val="center"/>
          </w:tcPr>
          <w:p w:rsidR="00C763ED" w:rsidRPr="00C763ED" w:rsidRDefault="00C763ED" w:rsidP="00247FF8">
            <w:pPr>
              <w:keepNext/>
              <w:keepLines/>
              <w:jc w:val="left"/>
              <w:rPr>
                <w:b w:val="0"/>
                <w:lang w:val="en-US"/>
              </w:rPr>
            </w:pPr>
            <w:r w:rsidRPr="00C763ED">
              <w:rPr>
                <w:b w:val="0"/>
                <w:lang w:val="en-US"/>
              </w:rPr>
              <w:t>Wed 3</w:t>
            </w:r>
            <w:r w:rsidRPr="00C763ED">
              <w:rPr>
                <w:b w:val="0"/>
                <w:vertAlign w:val="superscript"/>
                <w:lang w:val="en-US"/>
              </w:rPr>
              <w:t>rd</w:t>
            </w:r>
            <w:r w:rsidRPr="00C763ED">
              <w:rPr>
                <w:b w:val="0"/>
                <w:lang w:val="en-US"/>
              </w:rPr>
              <w:t xml:space="preserve"> June</w:t>
            </w:r>
          </w:p>
          <w:p w:rsidR="00C763ED" w:rsidRPr="00C763ED" w:rsidRDefault="00C763ED" w:rsidP="00247FF8">
            <w:pPr>
              <w:keepNext/>
              <w:keepLines/>
              <w:jc w:val="left"/>
              <w:rPr>
                <w:b w:val="0"/>
                <w:lang w:val="en-US"/>
              </w:rPr>
            </w:pPr>
            <w:r w:rsidRPr="00C763ED">
              <w:rPr>
                <w:b w:val="0"/>
                <w:lang w:val="en-US"/>
              </w:rPr>
              <w:t>(17:00-18:30)</w:t>
            </w:r>
          </w:p>
        </w:tc>
        <w:tc>
          <w:tcPr>
            <w:tcW w:w="3032" w:type="dxa"/>
            <w:tcBorders>
              <w:left w:val="none" w:sz="0" w:space="0" w:color="auto"/>
              <w:right w:val="none" w:sz="0" w:space="0" w:color="auto"/>
            </w:tcBorders>
            <w:vAlign w:val="center"/>
          </w:tcPr>
          <w:p w:rsidR="008610A4" w:rsidRDefault="008610A4" w:rsidP="00247FF8">
            <w:pPr>
              <w:keepNext/>
              <w:keepLines/>
              <w:jc w:val="left"/>
              <w:cnfStyle w:val="000000100000" w:firstRow="0" w:lastRow="0" w:firstColumn="0" w:lastColumn="0" w:oddVBand="0" w:evenVBand="0" w:oddHBand="1" w:evenHBand="0" w:firstRowFirstColumn="0" w:firstRowLastColumn="0" w:lastRowFirstColumn="0" w:lastRowLastColumn="0"/>
              <w:rPr>
                <w:lang w:val="en-US"/>
              </w:rPr>
            </w:pPr>
            <w:r>
              <w:rPr>
                <w:lang w:val="en-US"/>
              </w:rPr>
              <w:t>Fiscal regimes for the production of conventional and unconventional gas</w:t>
            </w:r>
          </w:p>
          <w:p w:rsidR="00C763ED" w:rsidRDefault="008610A4" w:rsidP="00247FF8">
            <w:pPr>
              <w:keepNext/>
              <w:keepLines/>
              <w:jc w:val="left"/>
              <w:cnfStyle w:val="000000100000" w:firstRow="0" w:lastRow="0" w:firstColumn="0" w:lastColumn="0" w:oddVBand="0" w:evenVBand="0" w:oddHBand="1" w:evenHBand="0" w:firstRowFirstColumn="0" w:firstRowLastColumn="0" w:lastRowFirstColumn="0" w:lastRowLastColumn="0"/>
              <w:rPr>
                <w:lang w:val="en-US"/>
              </w:rPr>
            </w:pPr>
            <w:r>
              <w:rPr>
                <w:lang w:val="en-US"/>
              </w:rPr>
              <w:t>(t</w:t>
            </w:r>
            <w:r w:rsidR="00C763ED">
              <w:rPr>
                <w:lang w:val="en-US"/>
              </w:rPr>
              <w:t>hematic session WOC 1.3</w:t>
            </w:r>
            <w:r>
              <w:rPr>
                <w:lang w:val="en-US"/>
              </w:rPr>
              <w:t>)</w:t>
            </w:r>
          </w:p>
        </w:tc>
        <w:tc>
          <w:tcPr>
            <w:tcW w:w="1787" w:type="dxa"/>
            <w:tcBorders>
              <w:left w:val="none" w:sz="0" w:space="0" w:color="auto"/>
              <w:right w:val="none" w:sz="0" w:space="0" w:color="auto"/>
            </w:tcBorders>
            <w:vAlign w:val="center"/>
          </w:tcPr>
          <w:p w:rsidR="00C763ED" w:rsidRDefault="00C763ED" w:rsidP="00247FF8">
            <w:pPr>
              <w:keepNext/>
              <w:keepLines/>
              <w:jc w:val="left"/>
              <w:cnfStyle w:val="000000100000" w:firstRow="0" w:lastRow="0" w:firstColumn="0" w:lastColumn="0" w:oddVBand="0" w:evenVBand="0" w:oddHBand="1" w:evenHBand="0" w:firstRowFirstColumn="0" w:firstRowLastColumn="0" w:lastRowFirstColumn="0" w:lastRowLastColumn="0"/>
              <w:rPr>
                <w:lang w:val="en-US"/>
              </w:rPr>
            </w:pPr>
            <w:proofErr w:type="spellStart"/>
            <w:r>
              <w:rPr>
                <w:lang w:val="en-US"/>
              </w:rPr>
              <w:t>Sacre</w:t>
            </w:r>
            <w:proofErr w:type="spellEnd"/>
            <w:r>
              <w:rPr>
                <w:lang w:val="en-US"/>
              </w:rPr>
              <w:t xml:space="preserve"> Coeur (150)</w:t>
            </w:r>
          </w:p>
        </w:tc>
        <w:tc>
          <w:tcPr>
            <w:tcW w:w="2375" w:type="dxa"/>
            <w:tcBorders>
              <w:left w:val="none" w:sz="0" w:space="0" w:color="auto"/>
            </w:tcBorders>
            <w:vAlign w:val="center"/>
          </w:tcPr>
          <w:p w:rsidR="00C763ED" w:rsidRPr="00247FF8" w:rsidRDefault="00247FF8" w:rsidP="00247FF8">
            <w:pPr>
              <w:keepNext/>
              <w:keepLines/>
              <w:jc w:val="left"/>
              <w:cnfStyle w:val="000000100000" w:firstRow="0" w:lastRow="0" w:firstColumn="0" w:lastColumn="0" w:oddVBand="0" w:evenVBand="0" w:oddHBand="1" w:evenHBand="0" w:firstRowFirstColumn="0" w:firstRowLastColumn="0" w:lastRowFirstColumn="0" w:lastRowLastColumn="0"/>
            </w:pPr>
            <w:r w:rsidRPr="00247FF8">
              <w:t>Daniel Johnston (</w:t>
            </w:r>
            <w:proofErr w:type="spellStart"/>
            <w:r w:rsidRPr="00247FF8">
              <w:t>consultant</w:t>
            </w:r>
            <w:proofErr w:type="spellEnd"/>
            <w:r w:rsidRPr="00247FF8">
              <w:t>)</w:t>
            </w:r>
          </w:p>
          <w:p w:rsidR="00247FF8" w:rsidRPr="00247FF8" w:rsidRDefault="00247FF8" w:rsidP="00247FF8">
            <w:pPr>
              <w:keepNext/>
              <w:keepLines/>
              <w:jc w:val="left"/>
              <w:cnfStyle w:val="000000100000" w:firstRow="0" w:lastRow="0" w:firstColumn="0" w:lastColumn="0" w:oddVBand="0" w:evenVBand="0" w:oddHBand="1" w:evenHBand="0" w:firstRowFirstColumn="0" w:firstRowLastColumn="0" w:lastRowFirstColumn="0" w:lastRowLastColumn="0"/>
            </w:pPr>
            <w:r w:rsidRPr="00247FF8">
              <w:t>Marcos de Freitas Sugaya (Petrobras)</w:t>
            </w:r>
          </w:p>
        </w:tc>
      </w:tr>
      <w:tr w:rsidR="00247FF8" w:rsidRPr="00247FF8" w:rsidTr="00247FF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Borders>
              <w:right w:val="none" w:sz="0" w:space="0" w:color="auto"/>
            </w:tcBorders>
            <w:vAlign w:val="center"/>
          </w:tcPr>
          <w:p w:rsidR="00C763ED" w:rsidRPr="00C763ED" w:rsidRDefault="00C763ED" w:rsidP="00247FF8">
            <w:pPr>
              <w:keepNext/>
              <w:keepLines/>
              <w:jc w:val="left"/>
              <w:rPr>
                <w:b w:val="0"/>
                <w:lang w:val="en-US"/>
              </w:rPr>
            </w:pPr>
            <w:r w:rsidRPr="00C763ED">
              <w:rPr>
                <w:b w:val="0"/>
                <w:lang w:val="en-US"/>
              </w:rPr>
              <w:t>Thu 4</w:t>
            </w:r>
            <w:r w:rsidRPr="00C763ED">
              <w:rPr>
                <w:b w:val="0"/>
                <w:vertAlign w:val="superscript"/>
                <w:lang w:val="en-US"/>
              </w:rPr>
              <w:t>th</w:t>
            </w:r>
            <w:r w:rsidRPr="00C763ED">
              <w:rPr>
                <w:b w:val="0"/>
                <w:lang w:val="en-US"/>
              </w:rPr>
              <w:t xml:space="preserve"> June</w:t>
            </w:r>
          </w:p>
          <w:p w:rsidR="00C763ED" w:rsidRPr="00C763ED" w:rsidRDefault="00C763ED" w:rsidP="00247FF8">
            <w:pPr>
              <w:keepNext/>
              <w:keepLines/>
              <w:jc w:val="left"/>
              <w:rPr>
                <w:b w:val="0"/>
                <w:lang w:val="en-US"/>
              </w:rPr>
            </w:pPr>
            <w:r w:rsidRPr="00C763ED">
              <w:rPr>
                <w:b w:val="0"/>
                <w:lang w:val="en-US"/>
              </w:rPr>
              <w:t>(8:30-10:00)</w:t>
            </w:r>
          </w:p>
        </w:tc>
        <w:tc>
          <w:tcPr>
            <w:tcW w:w="3032" w:type="dxa"/>
            <w:tcBorders>
              <w:left w:val="none" w:sz="0" w:space="0" w:color="auto"/>
              <w:right w:val="none" w:sz="0" w:space="0" w:color="auto"/>
            </w:tcBorders>
            <w:vAlign w:val="center"/>
          </w:tcPr>
          <w:p w:rsidR="00247FF8" w:rsidRDefault="00247FF8" w:rsidP="00247FF8">
            <w:pPr>
              <w:keepNext/>
              <w:keepLines/>
              <w:jc w:val="left"/>
              <w:cnfStyle w:val="000000010000" w:firstRow="0" w:lastRow="0" w:firstColumn="0" w:lastColumn="0" w:oddVBand="0" w:evenVBand="0" w:oddHBand="0" w:evenHBand="1" w:firstRowFirstColumn="0" w:firstRowLastColumn="0" w:lastRowFirstColumn="0" w:lastRowLastColumn="0"/>
              <w:rPr>
                <w:lang w:val="en-US"/>
              </w:rPr>
            </w:pPr>
            <w:r>
              <w:rPr>
                <w:lang w:val="en-US"/>
              </w:rPr>
              <w:t>Natural gas available everywhere: an assessment of global resources</w:t>
            </w:r>
          </w:p>
          <w:p w:rsidR="00C763ED" w:rsidRDefault="00247FF8" w:rsidP="00247FF8">
            <w:pPr>
              <w:keepNext/>
              <w:keepLines/>
              <w:jc w:val="left"/>
              <w:cnfStyle w:val="000000010000" w:firstRow="0" w:lastRow="0" w:firstColumn="0" w:lastColumn="0" w:oddVBand="0" w:evenVBand="0" w:oddHBand="0" w:evenHBand="1" w:firstRowFirstColumn="0" w:firstRowLastColumn="0" w:lastRowFirstColumn="0" w:lastRowLastColumn="0"/>
              <w:rPr>
                <w:lang w:val="en-US"/>
              </w:rPr>
            </w:pPr>
            <w:r>
              <w:rPr>
                <w:lang w:val="en-US"/>
              </w:rPr>
              <w:t>(t</w:t>
            </w:r>
            <w:r w:rsidR="00C763ED">
              <w:rPr>
                <w:lang w:val="en-US"/>
              </w:rPr>
              <w:t>hematic session WOC 1.2</w:t>
            </w:r>
            <w:r>
              <w:rPr>
                <w:lang w:val="en-US"/>
              </w:rPr>
              <w:t>)</w:t>
            </w:r>
          </w:p>
        </w:tc>
        <w:tc>
          <w:tcPr>
            <w:tcW w:w="1787" w:type="dxa"/>
            <w:tcBorders>
              <w:left w:val="none" w:sz="0" w:space="0" w:color="auto"/>
              <w:right w:val="none" w:sz="0" w:space="0" w:color="auto"/>
            </w:tcBorders>
            <w:vAlign w:val="center"/>
          </w:tcPr>
          <w:p w:rsidR="00C763ED" w:rsidRDefault="00C763ED" w:rsidP="00247FF8">
            <w:pPr>
              <w:keepNext/>
              <w:keepLines/>
              <w:jc w:val="left"/>
              <w:cnfStyle w:val="000000010000" w:firstRow="0" w:lastRow="0" w:firstColumn="0" w:lastColumn="0" w:oddVBand="0" w:evenVBand="0" w:oddHBand="0" w:evenHBand="1" w:firstRowFirstColumn="0" w:firstRowLastColumn="0" w:lastRowFirstColumn="0" w:lastRowLastColumn="0"/>
              <w:rPr>
                <w:lang w:val="en-US"/>
              </w:rPr>
            </w:pPr>
            <w:r>
              <w:rPr>
                <w:lang w:val="en-US"/>
              </w:rPr>
              <w:t>Tour Eiffel (500)</w:t>
            </w:r>
          </w:p>
        </w:tc>
        <w:tc>
          <w:tcPr>
            <w:tcW w:w="2375" w:type="dxa"/>
            <w:tcBorders>
              <w:left w:val="none" w:sz="0" w:space="0" w:color="auto"/>
            </w:tcBorders>
            <w:vAlign w:val="center"/>
          </w:tcPr>
          <w:p w:rsidR="00247FF8" w:rsidRDefault="00247FF8" w:rsidP="00247FF8">
            <w:pPr>
              <w:keepNext/>
              <w:keepLines/>
              <w:jc w:val="left"/>
              <w:cnfStyle w:val="000000010000" w:firstRow="0" w:lastRow="0" w:firstColumn="0" w:lastColumn="0" w:oddVBand="0" w:evenVBand="0" w:oddHBand="0" w:evenHBand="1" w:firstRowFirstColumn="0" w:firstRowLastColumn="0" w:lastRowFirstColumn="0" w:lastRowLastColumn="0"/>
            </w:pPr>
            <w:r w:rsidRPr="00247FF8">
              <w:t xml:space="preserve">Denis </w:t>
            </w:r>
            <w:proofErr w:type="spellStart"/>
            <w:r w:rsidRPr="00247FF8">
              <w:t>Krambeck</w:t>
            </w:r>
            <w:proofErr w:type="spellEnd"/>
            <w:r w:rsidRPr="00247FF8">
              <w:t xml:space="preserve"> </w:t>
            </w:r>
            <w:proofErr w:type="spellStart"/>
            <w:r w:rsidRPr="00247FF8">
              <w:t>Dinelli</w:t>
            </w:r>
            <w:proofErr w:type="spellEnd"/>
            <w:r w:rsidRPr="00247FF8">
              <w:t xml:space="preserve"> (Petrobras)</w:t>
            </w:r>
          </w:p>
          <w:p w:rsidR="00C763ED" w:rsidRPr="00247FF8" w:rsidRDefault="00247FF8" w:rsidP="00247FF8">
            <w:pPr>
              <w:keepNext/>
              <w:keepLines/>
              <w:jc w:val="left"/>
              <w:cnfStyle w:val="000000010000" w:firstRow="0" w:lastRow="0" w:firstColumn="0" w:lastColumn="0" w:oddVBand="0" w:evenVBand="0" w:oddHBand="0" w:evenHBand="1" w:firstRowFirstColumn="0" w:firstRowLastColumn="0" w:lastRowFirstColumn="0" w:lastRowLastColumn="0"/>
            </w:pPr>
            <w:r w:rsidRPr="00247FF8">
              <w:t xml:space="preserve">Fernando </w:t>
            </w:r>
            <w:proofErr w:type="spellStart"/>
            <w:r w:rsidRPr="00247FF8">
              <w:t>Bado</w:t>
            </w:r>
            <w:proofErr w:type="spellEnd"/>
            <w:r w:rsidRPr="00247FF8">
              <w:t xml:space="preserve"> (</w:t>
            </w:r>
            <w:proofErr w:type="spellStart"/>
            <w:r w:rsidRPr="00247FF8">
              <w:t>Tenaris</w:t>
            </w:r>
            <w:proofErr w:type="spellEnd"/>
            <w:r w:rsidRPr="00247FF8">
              <w:t>)</w:t>
            </w:r>
          </w:p>
        </w:tc>
      </w:tr>
      <w:tr w:rsidR="00247FF8" w:rsidTr="00247F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Borders>
              <w:right w:val="none" w:sz="0" w:space="0" w:color="auto"/>
            </w:tcBorders>
            <w:vAlign w:val="center"/>
          </w:tcPr>
          <w:p w:rsidR="00C763ED" w:rsidRPr="00C763ED" w:rsidRDefault="00C763ED" w:rsidP="00247FF8">
            <w:pPr>
              <w:keepNext/>
              <w:keepLines/>
              <w:jc w:val="left"/>
              <w:rPr>
                <w:b w:val="0"/>
                <w:lang w:val="en-US"/>
              </w:rPr>
            </w:pPr>
            <w:r w:rsidRPr="00C763ED">
              <w:rPr>
                <w:b w:val="0"/>
                <w:lang w:val="en-US"/>
              </w:rPr>
              <w:t>Thu 4</w:t>
            </w:r>
            <w:r w:rsidRPr="00C763ED">
              <w:rPr>
                <w:b w:val="0"/>
                <w:vertAlign w:val="superscript"/>
                <w:lang w:val="en-US"/>
              </w:rPr>
              <w:t>th</w:t>
            </w:r>
            <w:r w:rsidRPr="00C763ED">
              <w:rPr>
                <w:b w:val="0"/>
                <w:lang w:val="en-US"/>
              </w:rPr>
              <w:t xml:space="preserve"> June</w:t>
            </w:r>
          </w:p>
          <w:p w:rsidR="00C763ED" w:rsidRPr="00C763ED" w:rsidRDefault="00C763ED" w:rsidP="00247FF8">
            <w:pPr>
              <w:keepNext/>
              <w:keepLines/>
              <w:jc w:val="left"/>
              <w:rPr>
                <w:b w:val="0"/>
                <w:lang w:val="en-US"/>
              </w:rPr>
            </w:pPr>
            <w:r w:rsidRPr="00C763ED">
              <w:rPr>
                <w:b w:val="0"/>
                <w:lang w:val="en-US"/>
              </w:rPr>
              <w:t>(15:15-16:45)</w:t>
            </w:r>
          </w:p>
        </w:tc>
        <w:tc>
          <w:tcPr>
            <w:tcW w:w="3032" w:type="dxa"/>
            <w:tcBorders>
              <w:left w:val="none" w:sz="0" w:space="0" w:color="auto"/>
              <w:right w:val="none" w:sz="0" w:space="0" w:color="auto"/>
            </w:tcBorders>
            <w:vAlign w:val="center"/>
          </w:tcPr>
          <w:p w:rsidR="00C763ED" w:rsidRDefault="00C763ED" w:rsidP="00247FF8">
            <w:pPr>
              <w:keepNext/>
              <w:keepLines/>
              <w:jc w:val="left"/>
              <w:cnfStyle w:val="000000100000" w:firstRow="0" w:lastRow="0" w:firstColumn="0" w:lastColumn="0" w:oddVBand="0" w:evenVBand="0" w:oddHBand="1" w:evenHBand="0" w:firstRowFirstColumn="0" w:firstRowLastColumn="0" w:lastRowFirstColumn="0" w:lastRowLastColumn="0"/>
              <w:rPr>
                <w:lang w:val="en-US"/>
              </w:rPr>
            </w:pPr>
            <w:r>
              <w:rPr>
                <w:lang w:val="en-US"/>
              </w:rPr>
              <w:t>Unconventional gas</w:t>
            </w:r>
          </w:p>
          <w:p w:rsidR="00C763ED" w:rsidRDefault="00C763ED" w:rsidP="008610A4">
            <w:pPr>
              <w:keepNext/>
              <w:keepLines/>
              <w:jc w:val="left"/>
              <w:cnfStyle w:val="000000100000" w:firstRow="0" w:lastRow="0" w:firstColumn="0" w:lastColumn="0" w:oddVBand="0" w:evenVBand="0" w:oddHBand="1" w:evenHBand="0" w:firstRowFirstColumn="0" w:firstRowLastColumn="0" w:lastRowFirstColumn="0" w:lastRowLastColumn="0"/>
              <w:rPr>
                <w:lang w:val="en-US"/>
              </w:rPr>
            </w:pPr>
            <w:r>
              <w:rPr>
                <w:lang w:val="en-US"/>
              </w:rPr>
              <w:t>(strategic panel)</w:t>
            </w:r>
          </w:p>
        </w:tc>
        <w:tc>
          <w:tcPr>
            <w:tcW w:w="1787" w:type="dxa"/>
            <w:tcBorders>
              <w:left w:val="none" w:sz="0" w:space="0" w:color="auto"/>
              <w:right w:val="none" w:sz="0" w:space="0" w:color="auto"/>
            </w:tcBorders>
            <w:vAlign w:val="center"/>
          </w:tcPr>
          <w:p w:rsidR="00C763ED" w:rsidRDefault="00C763ED" w:rsidP="00247FF8">
            <w:pPr>
              <w:keepNext/>
              <w:keepLines/>
              <w:jc w:val="left"/>
              <w:cnfStyle w:val="000000100000" w:firstRow="0" w:lastRow="0" w:firstColumn="0" w:lastColumn="0" w:oddVBand="0" w:evenVBand="0" w:oddHBand="1" w:evenHBand="0" w:firstRowFirstColumn="0" w:firstRowLastColumn="0" w:lastRowFirstColumn="0" w:lastRowLastColumn="0"/>
              <w:rPr>
                <w:lang w:val="en-US"/>
              </w:rPr>
            </w:pPr>
            <w:r>
              <w:rPr>
                <w:lang w:val="en-US"/>
              </w:rPr>
              <w:t>Notre Dame Amphitheater (550)</w:t>
            </w:r>
          </w:p>
        </w:tc>
        <w:tc>
          <w:tcPr>
            <w:tcW w:w="2375" w:type="dxa"/>
            <w:tcBorders>
              <w:left w:val="none" w:sz="0" w:space="0" w:color="auto"/>
            </w:tcBorders>
            <w:vAlign w:val="center"/>
          </w:tcPr>
          <w:p w:rsidR="00C763ED" w:rsidRDefault="008610A4" w:rsidP="00247FF8">
            <w:pPr>
              <w:keepNext/>
              <w:keepLines/>
              <w:jc w:val="left"/>
              <w:cnfStyle w:val="000000100000" w:firstRow="0" w:lastRow="0" w:firstColumn="0" w:lastColumn="0" w:oddVBand="0" w:evenVBand="0" w:oddHBand="1" w:evenHBand="0" w:firstRowFirstColumn="0" w:firstRowLastColumn="0" w:lastRowFirstColumn="0" w:lastRowLastColumn="0"/>
              <w:rPr>
                <w:lang w:val="en-US"/>
              </w:rPr>
            </w:pPr>
            <w:r>
              <w:rPr>
                <w:lang w:val="en-US"/>
              </w:rPr>
              <w:t xml:space="preserve">Denis </w:t>
            </w:r>
            <w:proofErr w:type="spellStart"/>
            <w:r>
              <w:rPr>
                <w:lang w:val="en-US"/>
              </w:rPr>
              <w:t>Krambeck</w:t>
            </w:r>
            <w:proofErr w:type="spellEnd"/>
            <w:r>
              <w:rPr>
                <w:lang w:val="en-US"/>
              </w:rPr>
              <w:t xml:space="preserve"> </w:t>
            </w:r>
            <w:proofErr w:type="spellStart"/>
            <w:r>
              <w:rPr>
                <w:lang w:val="en-US"/>
              </w:rPr>
              <w:t>Dinelli</w:t>
            </w:r>
            <w:proofErr w:type="spellEnd"/>
            <w:r>
              <w:rPr>
                <w:lang w:val="en-US"/>
              </w:rPr>
              <w:t xml:space="preserve"> (</w:t>
            </w:r>
            <w:proofErr w:type="spellStart"/>
            <w:r>
              <w:rPr>
                <w:lang w:val="en-US"/>
              </w:rPr>
              <w:t>Petrobras</w:t>
            </w:r>
            <w:proofErr w:type="spellEnd"/>
            <w:r>
              <w:rPr>
                <w:lang w:val="en-US"/>
              </w:rPr>
              <w:t xml:space="preserve">) and </w:t>
            </w:r>
            <w:r w:rsidR="007A232D">
              <w:rPr>
                <w:lang w:val="en-US"/>
              </w:rPr>
              <w:t xml:space="preserve">Maria Gabriela </w:t>
            </w:r>
            <w:proofErr w:type="spellStart"/>
            <w:r w:rsidR="007A232D">
              <w:rPr>
                <w:lang w:val="en-US"/>
              </w:rPr>
              <w:t>Rosello</w:t>
            </w:r>
            <w:proofErr w:type="spellEnd"/>
            <w:r w:rsidR="007A232D">
              <w:rPr>
                <w:lang w:val="en-US"/>
              </w:rPr>
              <w:t xml:space="preserve"> (Total)</w:t>
            </w:r>
          </w:p>
        </w:tc>
      </w:tr>
      <w:tr w:rsidR="00C763ED" w:rsidTr="00247FF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Borders>
              <w:right w:val="none" w:sz="0" w:space="0" w:color="auto"/>
            </w:tcBorders>
            <w:vAlign w:val="center"/>
          </w:tcPr>
          <w:p w:rsidR="00C763ED" w:rsidRPr="00C763ED" w:rsidRDefault="00C763ED" w:rsidP="00247FF8">
            <w:pPr>
              <w:keepNext/>
              <w:keepLines/>
              <w:jc w:val="left"/>
              <w:rPr>
                <w:b w:val="0"/>
                <w:lang w:val="en-US"/>
              </w:rPr>
            </w:pPr>
            <w:r w:rsidRPr="00C763ED">
              <w:rPr>
                <w:b w:val="0"/>
                <w:lang w:val="en-US"/>
              </w:rPr>
              <w:t>Thu 4</w:t>
            </w:r>
            <w:r w:rsidRPr="00C763ED">
              <w:rPr>
                <w:b w:val="0"/>
                <w:vertAlign w:val="superscript"/>
                <w:lang w:val="en-US"/>
              </w:rPr>
              <w:t>th</w:t>
            </w:r>
            <w:r w:rsidRPr="00C763ED">
              <w:rPr>
                <w:b w:val="0"/>
                <w:lang w:val="en-US"/>
              </w:rPr>
              <w:t xml:space="preserve"> June</w:t>
            </w:r>
          </w:p>
          <w:p w:rsidR="00C763ED" w:rsidRPr="00C763ED" w:rsidRDefault="00C763ED" w:rsidP="00247FF8">
            <w:pPr>
              <w:keepNext/>
              <w:keepLines/>
              <w:jc w:val="left"/>
              <w:rPr>
                <w:b w:val="0"/>
                <w:lang w:val="en-US"/>
              </w:rPr>
            </w:pPr>
            <w:r w:rsidRPr="00C763ED">
              <w:rPr>
                <w:b w:val="0"/>
                <w:lang w:val="en-US"/>
              </w:rPr>
              <w:t>(17:00-18:30)</w:t>
            </w:r>
          </w:p>
        </w:tc>
        <w:tc>
          <w:tcPr>
            <w:tcW w:w="3032" w:type="dxa"/>
            <w:tcBorders>
              <w:left w:val="none" w:sz="0" w:space="0" w:color="auto"/>
              <w:right w:val="none" w:sz="0" w:space="0" w:color="auto"/>
            </w:tcBorders>
            <w:vAlign w:val="center"/>
          </w:tcPr>
          <w:p w:rsidR="00C763ED" w:rsidRDefault="00C763ED" w:rsidP="00247FF8">
            <w:pPr>
              <w:keepNext/>
              <w:keepLines/>
              <w:jc w:val="left"/>
              <w:cnfStyle w:val="000000010000" w:firstRow="0" w:lastRow="0" w:firstColumn="0" w:lastColumn="0" w:oddVBand="0" w:evenVBand="0" w:oddHBand="0" w:evenHBand="1" w:firstRowFirstColumn="0" w:firstRowLastColumn="0" w:lastRowFirstColumn="0" w:lastRowLastColumn="0"/>
              <w:rPr>
                <w:lang w:val="en-US"/>
              </w:rPr>
            </w:pPr>
            <w:r>
              <w:rPr>
                <w:lang w:val="en-US"/>
              </w:rPr>
              <w:t>Technological advances in gas exploration and production</w:t>
            </w:r>
          </w:p>
          <w:p w:rsidR="00C763ED" w:rsidRDefault="00C763ED" w:rsidP="00247FF8">
            <w:pPr>
              <w:keepNext/>
              <w:keepLines/>
              <w:jc w:val="left"/>
              <w:cnfStyle w:val="000000010000" w:firstRow="0" w:lastRow="0" w:firstColumn="0" w:lastColumn="0" w:oddVBand="0" w:evenVBand="0" w:oddHBand="0" w:evenHBand="1" w:firstRowFirstColumn="0" w:firstRowLastColumn="0" w:lastRowFirstColumn="0" w:lastRowLastColumn="0"/>
              <w:rPr>
                <w:lang w:val="en-US"/>
              </w:rPr>
            </w:pPr>
            <w:r>
              <w:rPr>
                <w:lang w:val="en-US"/>
              </w:rPr>
              <w:t xml:space="preserve">(thematic session </w:t>
            </w:r>
            <w:r w:rsidR="00247FF8">
              <w:rPr>
                <w:lang w:val="en-US"/>
              </w:rPr>
              <w:t>WOC</w:t>
            </w:r>
            <w:r>
              <w:rPr>
                <w:lang w:val="en-US"/>
              </w:rPr>
              <w:t xml:space="preserve"> 1.1)</w:t>
            </w:r>
          </w:p>
        </w:tc>
        <w:tc>
          <w:tcPr>
            <w:tcW w:w="1787" w:type="dxa"/>
            <w:tcBorders>
              <w:left w:val="none" w:sz="0" w:space="0" w:color="auto"/>
              <w:right w:val="none" w:sz="0" w:space="0" w:color="auto"/>
            </w:tcBorders>
            <w:vAlign w:val="center"/>
          </w:tcPr>
          <w:p w:rsidR="00C763ED" w:rsidRDefault="00C763ED" w:rsidP="00247FF8">
            <w:pPr>
              <w:keepNext/>
              <w:keepLines/>
              <w:jc w:val="left"/>
              <w:cnfStyle w:val="000000010000" w:firstRow="0" w:lastRow="0" w:firstColumn="0" w:lastColumn="0" w:oddVBand="0" w:evenVBand="0" w:oddHBand="0" w:evenHBand="1" w:firstRowFirstColumn="0" w:firstRowLastColumn="0" w:lastRowFirstColumn="0" w:lastRowLastColumn="0"/>
              <w:rPr>
                <w:lang w:val="en-US"/>
              </w:rPr>
            </w:pPr>
            <w:proofErr w:type="spellStart"/>
            <w:r>
              <w:rPr>
                <w:lang w:val="en-US"/>
              </w:rPr>
              <w:t>Invalides</w:t>
            </w:r>
            <w:proofErr w:type="spellEnd"/>
            <w:r>
              <w:rPr>
                <w:lang w:val="en-US"/>
              </w:rPr>
              <w:t xml:space="preserve"> (300)</w:t>
            </w:r>
          </w:p>
        </w:tc>
        <w:tc>
          <w:tcPr>
            <w:tcW w:w="2375" w:type="dxa"/>
            <w:tcBorders>
              <w:left w:val="none" w:sz="0" w:space="0" w:color="auto"/>
            </w:tcBorders>
            <w:vAlign w:val="center"/>
          </w:tcPr>
          <w:p w:rsidR="00C763ED" w:rsidRDefault="00247FF8" w:rsidP="00247FF8">
            <w:pPr>
              <w:keepNext/>
              <w:keepLines/>
              <w:jc w:val="left"/>
              <w:cnfStyle w:val="000000010000" w:firstRow="0" w:lastRow="0" w:firstColumn="0" w:lastColumn="0" w:oddVBand="0" w:evenVBand="0" w:oddHBand="0" w:evenHBand="1" w:firstRowFirstColumn="0" w:firstRowLastColumn="0" w:lastRowFirstColumn="0" w:lastRowLastColumn="0"/>
              <w:rPr>
                <w:lang w:val="en-US"/>
              </w:rPr>
            </w:pPr>
            <w:proofErr w:type="spellStart"/>
            <w:r>
              <w:rPr>
                <w:lang w:val="en-US"/>
              </w:rPr>
              <w:t>Adif</w:t>
            </w:r>
            <w:proofErr w:type="spellEnd"/>
            <w:r>
              <w:rPr>
                <w:lang w:val="en-US"/>
              </w:rPr>
              <w:t xml:space="preserve"> </w:t>
            </w:r>
            <w:proofErr w:type="spellStart"/>
            <w:r>
              <w:rPr>
                <w:lang w:val="en-US"/>
              </w:rPr>
              <w:t>Zulkifli</w:t>
            </w:r>
            <w:proofErr w:type="spellEnd"/>
            <w:r>
              <w:rPr>
                <w:lang w:val="en-US"/>
              </w:rPr>
              <w:t xml:space="preserve"> (</w:t>
            </w:r>
            <w:proofErr w:type="spellStart"/>
            <w:r>
              <w:rPr>
                <w:lang w:val="en-US"/>
              </w:rPr>
              <w:t>Petronas</w:t>
            </w:r>
            <w:proofErr w:type="spellEnd"/>
            <w:r>
              <w:rPr>
                <w:lang w:val="en-US"/>
              </w:rPr>
              <w:t>)</w:t>
            </w:r>
          </w:p>
        </w:tc>
      </w:tr>
      <w:tr w:rsidR="00247FF8" w:rsidTr="00247F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Borders>
              <w:right w:val="none" w:sz="0" w:space="0" w:color="auto"/>
            </w:tcBorders>
            <w:vAlign w:val="center"/>
          </w:tcPr>
          <w:p w:rsidR="00C763ED" w:rsidRPr="00C763ED" w:rsidRDefault="00C763ED" w:rsidP="00247FF8">
            <w:pPr>
              <w:keepNext/>
              <w:keepLines/>
              <w:jc w:val="left"/>
              <w:rPr>
                <w:b w:val="0"/>
                <w:lang w:val="en-US"/>
              </w:rPr>
            </w:pPr>
            <w:r w:rsidRPr="00C763ED">
              <w:rPr>
                <w:b w:val="0"/>
                <w:lang w:val="en-US"/>
              </w:rPr>
              <w:t>Fri 5</w:t>
            </w:r>
            <w:r w:rsidRPr="00C763ED">
              <w:rPr>
                <w:b w:val="0"/>
                <w:vertAlign w:val="superscript"/>
                <w:lang w:val="en-US"/>
              </w:rPr>
              <w:t>th</w:t>
            </w:r>
            <w:r w:rsidRPr="00C763ED">
              <w:rPr>
                <w:b w:val="0"/>
                <w:lang w:val="en-US"/>
              </w:rPr>
              <w:t xml:space="preserve"> June</w:t>
            </w:r>
          </w:p>
          <w:p w:rsidR="00C763ED" w:rsidRPr="00C763ED" w:rsidRDefault="00C763ED" w:rsidP="00247FF8">
            <w:pPr>
              <w:keepNext/>
              <w:keepLines/>
              <w:jc w:val="left"/>
              <w:rPr>
                <w:b w:val="0"/>
                <w:lang w:val="en-US"/>
              </w:rPr>
            </w:pPr>
            <w:r w:rsidRPr="00C763ED">
              <w:rPr>
                <w:b w:val="0"/>
                <w:lang w:val="en-US"/>
              </w:rPr>
              <w:t>(8:30-10:00)</w:t>
            </w:r>
          </w:p>
        </w:tc>
        <w:tc>
          <w:tcPr>
            <w:tcW w:w="3032" w:type="dxa"/>
            <w:tcBorders>
              <w:left w:val="none" w:sz="0" w:space="0" w:color="auto"/>
              <w:right w:val="none" w:sz="0" w:space="0" w:color="auto"/>
            </w:tcBorders>
            <w:vAlign w:val="center"/>
          </w:tcPr>
          <w:p w:rsidR="008610A4" w:rsidRDefault="008610A4" w:rsidP="00247FF8">
            <w:pPr>
              <w:keepNext/>
              <w:keepLines/>
              <w:jc w:val="left"/>
              <w:cnfStyle w:val="000000100000" w:firstRow="0" w:lastRow="0" w:firstColumn="0" w:lastColumn="0" w:oddVBand="0" w:evenVBand="0" w:oddHBand="1" w:evenHBand="0" w:firstRowFirstColumn="0" w:firstRowLastColumn="0" w:lastRowFirstColumn="0" w:lastRowLastColumn="0"/>
              <w:rPr>
                <w:lang w:val="en-US"/>
              </w:rPr>
            </w:pPr>
            <w:r>
              <w:rPr>
                <w:lang w:val="en-US"/>
              </w:rPr>
              <w:t>Technologies for the monetization of gas reserves</w:t>
            </w:r>
          </w:p>
          <w:p w:rsidR="00C763ED" w:rsidRDefault="008610A4" w:rsidP="00247FF8">
            <w:pPr>
              <w:keepNext/>
              <w:keepLines/>
              <w:jc w:val="left"/>
              <w:cnfStyle w:val="000000100000" w:firstRow="0" w:lastRow="0" w:firstColumn="0" w:lastColumn="0" w:oddVBand="0" w:evenVBand="0" w:oddHBand="1" w:evenHBand="0" w:firstRowFirstColumn="0" w:firstRowLastColumn="0" w:lastRowFirstColumn="0" w:lastRowLastColumn="0"/>
              <w:rPr>
                <w:lang w:val="en-US"/>
              </w:rPr>
            </w:pPr>
            <w:r>
              <w:rPr>
                <w:lang w:val="en-US"/>
              </w:rPr>
              <w:t>(t</w:t>
            </w:r>
            <w:r w:rsidR="00C763ED">
              <w:rPr>
                <w:lang w:val="en-US"/>
              </w:rPr>
              <w:t>hematic session WOC 1.4</w:t>
            </w:r>
            <w:r>
              <w:rPr>
                <w:lang w:val="en-US"/>
              </w:rPr>
              <w:t>)</w:t>
            </w:r>
          </w:p>
        </w:tc>
        <w:tc>
          <w:tcPr>
            <w:tcW w:w="1787" w:type="dxa"/>
            <w:tcBorders>
              <w:left w:val="none" w:sz="0" w:space="0" w:color="auto"/>
              <w:right w:val="none" w:sz="0" w:space="0" w:color="auto"/>
            </w:tcBorders>
            <w:vAlign w:val="center"/>
          </w:tcPr>
          <w:p w:rsidR="00C763ED" w:rsidRDefault="00C763ED" w:rsidP="00247FF8">
            <w:pPr>
              <w:keepNext/>
              <w:keepLines/>
              <w:jc w:val="left"/>
              <w:cnfStyle w:val="000000100000" w:firstRow="0" w:lastRow="0" w:firstColumn="0" w:lastColumn="0" w:oddVBand="0" w:evenVBand="0" w:oddHBand="1" w:evenHBand="0" w:firstRowFirstColumn="0" w:firstRowLastColumn="0" w:lastRowFirstColumn="0" w:lastRowLastColumn="0"/>
              <w:rPr>
                <w:lang w:val="en-US"/>
              </w:rPr>
            </w:pPr>
            <w:r>
              <w:rPr>
                <w:lang w:val="en-US"/>
              </w:rPr>
              <w:t>Louvre (170)</w:t>
            </w:r>
          </w:p>
        </w:tc>
        <w:tc>
          <w:tcPr>
            <w:tcW w:w="2375" w:type="dxa"/>
            <w:tcBorders>
              <w:left w:val="none" w:sz="0" w:space="0" w:color="auto"/>
            </w:tcBorders>
            <w:vAlign w:val="center"/>
          </w:tcPr>
          <w:p w:rsidR="00C763ED" w:rsidRDefault="008610A4" w:rsidP="00247FF8">
            <w:pPr>
              <w:keepNext/>
              <w:keepLines/>
              <w:jc w:val="left"/>
              <w:cnfStyle w:val="000000100000" w:firstRow="0" w:lastRow="0" w:firstColumn="0" w:lastColumn="0" w:oddVBand="0" w:evenVBand="0" w:oddHBand="1" w:evenHBand="0" w:firstRowFirstColumn="0" w:firstRowLastColumn="0" w:lastRowFirstColumn="0" w:lastRowLastColumn="0"/>
              <w:rPr>
                <w:lang w:val="en-US"/>
              </w:rPr>
            </w:pPr>
            <w:proofErr w:type="spellStart"/>
            <w:r>
              <w:rPr>
                <w:lang w:val="en-US"/>
              </w:rPr>
              <w:t>Rashida</w:t>
            </w:r>
            <w:proofErr w:type="spellEnd"/>
            <w:r>
              <w:rPr>
                <w:lang w:val="en-US"/>
              </w:rPr>
              <w:t xml:space="preserve"> Karim (</w:t>
            </w:r>
            <w:proofErr w:type="spellStart"/>
            <w:r>
              <w:rPr>
                <w:lang w:val="en-US"/>
              </w:rPr>
              <w:t>Petronas</w:t>
            </w:r>
            <w:proofErr w:type="spellEnd"/>
            <w:r>
              <w:rPr>
                <w:lang w:val="en-US"/>
              </w:rPr>
              <w:t>)</w:t>
            </w:r>
          </w:p>
        </w:tc>
      </w:tr>
    </w:tbl>
    <w:p w:rsidR="00A07536" w:rsidRDefault="00A07536" w:rsidP="00A07536">
      <w:pPr>
        <w:rPr>
          <w:lang w:val="en-US"/>
        </w:rPr>
      </w:pPr>
    </w:p>
    <w:p w:rsidR="00FD2279" w:rsidRDefault="00FD2279" w:rsidP="00FD2279">
      <w:pPr>
        <w:ind w:firstLine="708"/>
        <w:rPr>
          <w:lang w:val="en-US"/>
        </w:rPr>
      </w:pPr>
      <w:r>
        <w:rPr>
          <w:lang w:val="en-US"/>
        </w:rPr>
        <w:t xml:space="preserve">As the sessions are only 90 min long, the number of speakers will have to be limited to </w:t>
      </w:r>
      <w:r w:rsidR="00035392">
        <w:rPr>
          <w:lang w:val="en-US"/>
        </w:rPr>
        <w:t xml:space="preserve">about </w:t>
      </w:r>
      <w:r>
        <w:rPr>
          <w:lang w:val="en-US"/>
        </w:rPr>
        <w:t>five, which will be enough for</w:t>
      </w:r>
      <w:r w:rsidR="00035392">
        <w:rPr>
          <w:lang w:val="en-US"/>
        </w:rPr>
        <w:t xml:space="preserve"> presentations of</w:t>
      </w:r>
      <w:r>
        <w:rPr>
          <w:lang w:val="en-US"/>
        </w:rPr>
        <w:t xml:space="preserve"> 15 min followed by</w:t>
      </w:r>
      <w:r w:rsidR="000C0B84">
        <w:rPr>
          <w:lang w:val="en-US"/>
        </w:rPr>
        <w:t xml:space="preserve"> </w:t>
      </w:r>
      <w:r>
        <w:rPr>
          <w:lang w:val="en-US"/>
        </w:rPr>
        <w:t>3 min</w:t>
      </w:r>
      <w:r w:rsidR="000C0B84">
        <w:rPr>
          <w:lang w:val="en-US"/>
        </w:rPr>
        <w:t xml:space="preserve"> of Q&amp;A</w:t>
      </w:r>
      <w:r>
        <w:rPr>
          <w:lang w:val="en-US"/>
        </w:rPr>
        <w:t>.</w:t>
      </w:r>
    </w:p>
    <w:p w:rsidR="00821FCA" w:rsidRDefault="000C0B84" w:rsidP="00E95730">
      <w:pPr>
        <w:ind w:firstLine="708"/>
        <w:rPr>
          <w:lang w:val="en-US"/>
        </w:rPr>
      </w:pPr>
      <w:r>
        <w:rPr>
          <w:lang w:val="en-US"/>
        </w:rPr>
        <w:t>WOC 1</w:t>
      </w:r>
      <w:r w:rsidR="008920E1">
        <w:rPr>
          <w:lang w:val="en-US"/>
        </w:rPr>
        <w:t xml:space="preserve"> has also requested the Coordination Committee to include the strategic panels in the call for papers, as this will increase</w:t>
      </w:r>
      <w:r w:rsidR="00264D23">
        <w:rPr>
          <w:lang w:val="en-US"/>
        </w:rPr>
        <w:t xml:space="preserve"> author</w:t>
      </w:r>
      <w:r w:rsidR="008920E1">
        <w:rPr>
          <w:lang w:val="en-US"/>
        </w:rPr>
        <w:t xml:space="preserve"> competition and</w:t>
      </w:r>
      <w:r w:rsidR="00495194">
        <w:rPr>
          <w:lang w:val="en-US"/>
        </w:rPr>
        <w:t xml:space="preserve"> the</w:t>
      </w:r>
      <w:r w:rsidR="008920E1">
        <w:rPr>
          <w:lang w:val="en-US"/>
        </w:rPr>
        <w:t xml:space="preserve"> overall quality of the </w:t>
      </w:r>
      <w:r w:rsidR="00264D23">
        <w:rPr>
          <w:lang w:val="en-US"/>
        </w:rPr>
        <w:t>conference</w:t>
      </w:r>
      <w:r w:rsidR="008920E1">
        <w:rPr>
          <w:lang w:val="en-US"/>
        </w:rPr>
        <w:t xml:space="preserve">. </w:t>
      </w:r>
      <w:r w:rsidR="00264D23">
        <w:rPr>
          <w:lang w:val="en-US"/>
        </w:rPr>
        <w:t>On top of that, t</w:t>
      </w:r>
      <w:r w:rsidR="008920E1">
        <w:rPr>
          <w:lang w:val="en-US"/>
        </w:rPr>
        <w:t>he administration of unconfirmed speakers</w:t>
      </w:r>
      <w:r>
        <w:rPr>
          <w:lang w:val="en-US"/>
        </w:rPr>
        <w:t xml:space="preserve"> will be facilitated</w:t>
      </w:r>
      <w:r w:rsidR="008920E1">
        <w:rPr>
          <w:lang w:val="en-US"/>
        </w:rPr>
        <w:t>.</w:t>
      </w:r>
    </w:p>
    <w:p w:rsidR="00FB23D3" w:rsidRDefault="00FB23D3" w:rsidP="00FB23D3">
      <w:pPr>
        <w:pStyle w:val="Ttulo2"/>
        <w:numPr>
          <w:ilvl w:val="0"/>
          <w:numId w:val="1"/>
        </w:numPr>
        <w:rPr>
          <w:lang w:val="en-US"/>
        </w:rPr>
      </w:pPr>
      <w:r>
        <w:rPr>
          <w:lang w:val="en-US"/>
        </w:rPr>
        <w:t>WOC 1 session</w:t>
      </w:r>
      <w:r w:rsidR="007D79E2">
        <w:rPr>
          <w:lang w:val="en-US"/>
        </w:rPr>
        <w:t>s</w:t>
      </w:r>
    </w:p>
    <w:p w:rsidR="002F124A" w:rsidRDefault="00FB23D3" w:rsidP="003A7227">
      <w:pPr>
        <w:ind w:firstLine="708"/>
        <w:rPr>
          <w:lang w:val="en-US"/>
        </w:rPr>
      </w:pPr>
      <w:r w:rsidRPr="00D05F46">
        <w:rPr>
          <w:b/>
          <w:lang w:val="en-US"/>
        </w:rPr>
        <w:t>D</w:t>
      </w:r>
      <w:r w:rsidR="00E95730">
        <w:rPr>
          <w:b/>
          <w:lang w:val="en-US"/>
        </w:rPr>
        <w:t>r. Marcos de Freitas Sugaya</w:t>
      </w:r>
      <w:r>
        <w:rPr>
          <w:lang w:val="en-US"/>
        </w:rPr>
        <w:t xml:space="preserve">, </w:t>
      </w:r>
      <w:r w:rsidR="00E95730">
        <w:rPr>
          <w:lang w:val="en-US"/>
        </w:rPr>
        <w:t xml:space="preserve">Acting </w:t>
      </w:r>
      <w:r>
        <w:rPr>
          <w:lang w:val="en-US"/>
        </w:rPr>
        <w:t xml:space="preserve">Chairman of WOC 1, </w:t>
      </w:r>
      <w:r w:rsidR="00E95730">
        <w:rPr>
          <w:lang w:val="en-US"/>
        </w:rPr>
        <w:t xml:space="preserve">reminded the most important discussions that took place in Kota </w:t>
      </w:r>
      <w:proofErr w:type="spellStart"/>
      <w:r w:rsidR="00E95730">
        <w:rPr>
          <w:lang w:val="en-US"/>
        </w:rPr>
        <w:t>Kinabalu</w:t>
      </w:r>
      <w:proofErr w:type="spellEnd"/>
      <w:r w:rsidR="00E95730">
        <w:rPr>
          <w:lang w:val="en-US"/>
        </w:rPr>
        <w:t>, and called attention to the products expected</w:t>
      </w:r>
      <w:r w:rsidR="00C5442C">
        <w:rPr>
          <w:lang w:val="en-US"/>
        </w:rPr>
        <w:t xml:space="preserve"> in Seoul, mainly a first draft of the triennial report of the committee</w:t>
      </w:r>
      <w:r w:rsidR="004A2567">
        <w:rPr>
          <w:lang w:val="en-US"/>
        </w:rPr>
        <w:t>.</w:t>
      </w:r>
    </w:p>
    <w:p w:rsidR="00C5442C" w:rsidRDefault="00C5442C" w:rsidP="003A7227">
      <w:pPr>
        <w:ind w:firstLine="708"/>
        <w:rPr>
          <w:lang w:val="en-US"/>
        </w:rPr>
      </w:pPr>
      <w:r>
        <w:rPr>
          <w:lang w:val="en-US"/>
        </w:rPr>
        <w:t>Ideally, it would contain the most important actions and best practices to be adopted by the upstream segment of the gas industry. The introduction should be captivating enough to encourage the reader to proceed, but reasoning must be properly developed to support the conclusions. Figures, texts and tables taken from other sources should not be reproduced without written consent, and their authors must be properly quoted.</w:t>
      </w:r>
    </w:p>
    <w:p w:rsidR="00D05F46" w:rsidRDefault="00F25658" w:rsidP="00506081">
      <w:pPr>
        <w:ind w:firstLine="708"/>
        <w:rPr>
          <w:lang w:val="en-US"/>
        </w:rPr>
      </w:pPr>
      <w:r>
        <w:rPr>
          <w:lang w:val="en-US"/>
        </w:rPr>
        <w:t xml:space="preserve">The call for papers for the next World Gas Conference is now open at </w:t>
      </w:r>
      <w:hyperlink r:id="rId10" w:history="1">
        <w:r w:rsidRPr="00372072">
          <w:rPr>
            <w:rStyle w:val="Hyperlink"/>
            <w:lang w:val="en-US"/>
          </w:rPr>
          <w:t>http://www.wgc2015.org</w:t>
        </w:r>
      </w:hyperlink>
      <w:r>
        <w:rPr>
          <w:lang w:val="en-US"/>
        </w:rPr>
        <w:t xml:space="preserve">. </w:t>
      </w:r>
      <w:r w:rsidR="00C5442C">
        <w:rPr>
          <w:lang w:val="en-US"/>
        </w:rPr>
        <w:t>All WOC 1</w:t>
      </w:r>
      <w:r>
        <w:rPr>
          <w:lang w:val="en-US"/>
        </w:rPr>
        <w:t xml:space="preserve"> members</w:t>
      </w:r>
      <w:r w:rsidR="00C5442C">
        <w:rPr>
          <w:lang w:val="en-US"/>
        </w:rPr>
        <w:t xml:space="preserve"> are encourage</w:t>
      </w:r>
      <w:r>
        <w:rPr>
          <w:lang w:val="en-US"/>
        </w:rPr>
        <w:t>d</w:t>
      </w:r>
      <w:r w:rsidR="00C5442C">
        <w:rPr>
          <w:lang w:val="en-US"/>
        </w:rPr>
        <w:t xml:space="preserve"> to submit and</w:t>
      </w:r>
      <w:r>
        <w:rPr>
          <w:lang w:val="en-US"/>
        </w:rPr>
        <w:t>/or</w:t>
      </w:r>
      <w:r w:rsidR="00C5442C">
        <w:rPr>
          <w:lang w:val="en-US"/>
        </w:rPr>
        <w:t xml:space="preserve"> </w:t>
      </w:r>
      <w:r>
        <w:rPr>
          <w:lang w:val="en-US"/>
        </w:rPr>
        <w:t>procure</w:t>
      </w:r>
      <w:r w:rsidR="00C5442C">
        <w:rPr>
          <w:lang w:val="en-US"/>
        </w:rPr>
        <w:t xml:space="preserve"> submission</w:t>
      </w:r>
      <w:r>
        <w:rPr>
          <w:lang w:val="en-US"/>
        </w:rPr>
        <w:t>s</w:t>
      </w:r>
      <w:r w:rsidR="00C5442C">
        <w:rPr>
          <w:lang w:val="en-US"/>
        </w:rPr>
        <w:t xml:space="preserve"> </w:t>
      </w:r>
      <w:r>
        <w:rPr>
          <w:lang w:val="en-US"/>
        </w:rPr>
        <w:t>to enhance the competition and the overall quality of the conference. The best will be selected during the next committee meeting</w:t>
      </w:r>
      <w:r w:rsidR="002F69DB">
        <w:rPr>
          <w:lang w:val="en-US"/>
        </w:rPr>
        <w:t>,</w:t>
      </w:r>
      <w:r>
        <w:rPr>
          <w:lang w:val="en-US"/>
        </w:rPr>
        <w:t xml:space="preserve"> in September 2014</w:t>
      </w:r>
      <w:r w:rsidR="002F69DB">
        <w:rPr>
          <w:lang w:val="en-US"/>
        </w:rPr>
        <w:t>, but the contributions from WOC 1 members will be not be exposed there.</w:t>
      </w:r>
    </w:p>
    <w:p w:rsidR="002F69DB" w:rsidRDefault="002F69DB" w:rsidP="00506081">
      <w:pPr>
        <w:ind w:firstLine="708"/>
        <w:rPr>
          <w:lang w:val="en-US"/>
        </w:rPr>
      </w:pPr>
      <w:r>
        <w:rPr>
          <w:lang w:val="en-US"/>
        </w:rPr>
        <w:t xml:space="preserve">All WGC strategic panels, committee sessions and expert fora </w:t>
      </w:r>
      <w:proofErr w:type="spellStart"/>
      <w:r>
        <w:rPr>
          <w:lang w:val="en-US"/>
        </w:rPr>
        <w:t>organised</w:t>
      </w:r>
      <w:proofErr w:type="spellEnd"/>
      <w:r>
        <w:rPr>
          <w:lang w:val="en-US"/>
        </w:rPr>
        <w:t xml:space="preserve"> by WOC 1 are now completely defined, with titles, chairmen and contents. They will be available in the conference </w:t>
      </w:r>
      <w:proofErr w:type="spellStart"/>
      <w:r>
        <w:rPr>
          <w:lang w:val="en-US"/>
        </w:rPr>
        <w:t>programme</w:t>
      </w:r>
      <w:proofErr w:type="spellEnd"/>
      <w:r>
        <w:rPr>
          <w:lang w:val="en-US"/>
        </w:rPr>
        <w:t xml:space="preserve"> that will be released by the French presidency within a few weeks.</w:t>
      </w:r>
    </w:p>
    <w:p w:rsidR="007D79E2" w:rsidRDefault="00C5442C" w:rsidP="00C5442C">
      <w:pPr>
        <w:pStyle w:val="Ttulo3"/>
        <w:rPr>
          <w:lang w:val="en-US"/>
        </w:rPr>
      </w:pPr>
      <w:r>
        <w:rPr>
          <w:lang w:val="en-US"/>
        </w:rPr>
        <w:t xml:space="preserve">3.1 </w:t>
      </w:r>
      <w:r w:rsidR="00146CBD">
        <w:rPr>
          <w:lang w:val="en-US"/>
        </w:rPr>
        <w:t>SG 1.1 E&amp;P T</w:t>
      </w:r>
      <w:r w:rsidR="007D79E2">
        <w:rPr>
          <w:lang w:val="en-US"/>
        </w:rPr>
        <w:t>echnology</w:t>
      </w:r>
    </w:p>
    <w:p w:rsidR="00066AE6" w:rsidRDefault="007D79E2" w:rsidP="00701FF2">
      <w:pPr>
        <w:ind w:firstLine="708"/>
        <w:rPr>
          <w:lang w:val="en-US"/>
        </w:rPr>
      </w:pPr>
      <w:r w:rsidRPr="007D79E2">
        <w:rPr>
          <w:lang w:val="en-US"/>
        </w:rPr>
        <w:t>Th</w:t>
      </w:r>
      <w:r w:rsidR="00A64529">
        <w:rPr>
          <w:lang w:val="en-US"/>
        </w:rPr>
        <w:t>is study group</w:t>
      </w:r>
      <w:r w:rsidR="00701FF2">
        <w:rPr>
          <w:lang w:val="en-US"/>
        </w:rPr>
        <w:t xml:space="preserve"> was asked to focus on the technologies that are most relevant for the production of </w:t>
      </w:r>
      <w:proofErr w:type="spellStart"/>
      <w:r w:rsidR="00701FF2">
        <w:rPr>
          <w:lang w:val="en-US"/>
        </w:rPr>
        <w:t>unconventionals</w:t>
      </w:r>
      <w:proofErr w:type="spellEnd"/>
      <w:r w:rsidR="00701FF2">
        <w:rPr>
          <w:lang w:val="en-US"/>
        </w:rPr>
        <w:t xml:space="preserve">, such as horizontal drilling, multi-stage stimulation and </w:t>
      </w:r>
      <w:proofErr w:type="spellStart"/>
      <w:r w:rsidR="00701FF2">
        <w:rPr>
          <w:lang w:val="en-US"/>
        </w:rPr>
        <w:t>microseismic</w:t>
      </w:r>
      <w:proofErr w:type="spellEnd"/>
      <w:r w:rsidR="00701FF2">
        <w:rPr>
          <w:lang w:val="en-US"/>
        </w:rPr>
        <w:t xml:space="preserve"> monitoring. On top of that, the group is expected to establish best practices aiming at the exploration and production of hydrocarbons in a safe</w:t>
      </w:r>
      <w:r w:rsidR="00A31508">
        <w:rPr>
          <w:lang w:val="en-US"/>
        </w:rPr>
        <w:t>, efficient</w:t>
      </w:r>
      <w:r w:rsidR="00701FF2">
        <w:rPr>
          <w:lang w:val="en-US"/>
        </w:rPr>
        <w:t xml:space="preserve"> and environmentally sound manner.</w:t>
      </w:r>
      <w:r w:rsidR="00A31508">
        <w:rPr>
          <w:lang w:val="en-US"/>
        </w:rPr>
        <w:t xml:space="preserve"> These could integrate the new edition of the shale gas brochure that is being produced by the IGU under the leadership of the Vice-chairman of the Coordination Committee, Mr. Mel </w:t>
      </w:r>
      <w:proofErr w:type="spellStart"/>
      <w:r w:rsidR="00A31508">
        <w:rPr>
          <w:lang w:val="en-US"/>
        </w:rPr>
        <w:t>Ydreos</w:t>
      </w:r>
      <w:proofErr w:type="spellEnd"/>
      <w:r w:rsidR="00A31508">
        <w:rPr>
          <w:lang w:val="en-US"/>
        </w:rPr>
        <w:t>.</w:t>
      </w:r>
    </w:p>
    <w:p w:rsidR="00A31508" w:rsidRDefault="00A31508" w:rsidP="00701FF2">
      <w:pPr>
        <w:ind w:firstLine="708"/>
        <w:rPr>
          <w:lang w:val="en-US"/>
        </w:rPr>
      </w:pPr>
      <w:r>
        <w:rPr>
          <w:lang w:val="en-US"/>
        </w:rPr>
        <w:t>The group was also asked to deliver on the technologies that are relevant to the reduction of gas flaring and venting</w:t>
      </w:r>
      <w:r w:rsidR="00AF3734">
        <w:rPr>
          <w:lang w:val="en-US"/>
        </w:rPr>
        <w:t>, including FLNG and FGTL</w:t>
      </w:r>
      <w:r>
        <w:rPr>
          <w:lang w:val="en-US"/>
        </w:rPr>
        <w:t xml:space="preserve">. </w:t>
      </w:r>
      <w:r w:rsidR="00AF3734">
        <w:rPr>
          <w:lang w:val="en-US"/>
        </w:rPr>
        <w:t xml:space="preserve">At strategic panel on gas flaring and venting will be chaired at the WGC by the new manager of the Global Gas Flaring Reduction </w:t>
      </w:r>
      <w:proofErr w:type="spellStart"/>
      <w:r w:rsidR="00AF3734">
        <w:rPr>
          <w:lang w:val="en-US"/>
        </w:rPr>
        <w:t>programme</w:t>
      </w:r>
      <w:proofErr w:type="spellEnd"/>
      <w:r w:rsidR="00AF3734">
        <w:rPr>
          <w:lang w:val="en-US"/>
        </w:rPr>
        <w:t xml:space="preserve"> of the World Bank</w:t>
      </w:r>
      <w:r w:rsidR="00526252">
        <w:rPr>
          <w:lang w:val="en-US"/>
        </w:rPr>
        <w:t xml:space="preserve"> (GGFR)</w:t>
      </w:r>
      <w:r w:rsidR="00AF3734">
        <w:rPr>
          <w:lang w:val="en-US"/>
        </w:rPr>
        <w:t xml:space="preserve">, Mr. Bjorn </w:t>
      </w:r>
      <w:proofErr w:type="spellStart"/>
      <w:r w:rsidR="00AF3734">
        <w:rPr>
          <w:lang w:val="en-US"/>
        </w:rPr>
        <w:t>Hamson</w:t>
      </w:r>
      <w:proofErr w:type="spellEnd"/>
      <w:r w:rsidR="00AF3734">
        <w:rPr>
          <w:lang w:val="en-US"/>
        </w:rPr>
        <w:t xml:space="preserve">, who has asked the committee to </w:t>
      </w:r>
      <w:proofErr w:type="spellStart"/>
      <w:r w:rsidR="00AF3734">
        <w:rPr>
          <w:lang w:val="en-US"/>
        </w:rPr>
        <w:t>emphasise</w:t>
      </w:r>
      <w:proofErr w:type="spellEnd"/>
      <w:r w:rsidR="00AF3734">
        <w:rPr>
          <w:lang w:val="en-US"/>
        </w:rPr>
        <w:t xml:space="preserve"> the role of technology in that purpose.</w:t>
      </w:r>
    </w:p>
    <w:p w:rsidR="00146CBD" w:rsidRDefault="00146CBD" w:rsidP="00701FF2">
      <w:pPr>
        <w:ind w:firstLine="708"/>
        <w:rPr>
          <w:lang w:val="en-GB"/>
        </w:rPr>
      </w:pPr>
      <w:proofErr w:type="spellStart"/>
      <w:r w:rsidRPr="005B1C1A">
        <w:rPr>
          <w:lang w:val="en-GB"/>
        </w:rPr>
        <w:t>Dr.</w:t>
      </w:r>
      <w:proofErr w:type="spellEnd"/>
      <w:r w:rsidRPr="005B1C1A">
        <w:rPr>
          <w:lang w:val="en-GB"/>
        </w:rPr>
        <w:t xml:space="preserve"> Marcos de Freitas Sugaya</w:t>
      </w:r>
      <w:r w:rsidR="008262E6">
        <w:rPr>
          <w:lang w:val="en-GB"/>
        </w:rPr>
        <w:t xml:space="preserve"> (</w:t>
      </w:r>
      <w:proofErr w:type="spellStart"/>
      <w:r w:rsidR="008262E6">
        <w:rPr>
          <w:lang w:val="en-GB"/>
        </w:rPr>
        <w:t>Petrobras</w:t>
      </w:r>
      <w:proofErr w:type="spellEnd"/>
      <w:r w:rsidR="008262E6">
        <w:rPr>
          <w:lang w:val="en-GB"/>
        </w:rPr>
        <w:t>)</w:t>
      </w:r>
      <w:r w:rsidR="00526252" w:rsidRPr="00526252">
        <w:rPr>
          <w:lang w:val="en-GB"/>
        </w:rPr>
        <w:t xml:space="preserve"> reprocessed some flaring data published by the GGFR,</w:t>
      </w:r>
      <w:r w:rsidR="00526252">
        <w:rPr>
          <w:lang w:val="en-GB"/>
        </w:rPr>
        <w:t xml:space="preserve"> </w:t>
      </w:r>
      <w:r w:rsidR="00526252" w:rsidRPr="00526252">
        <w:rPr>
          <w:lang w:val="en-GB"/>
        </w:rPr>
        <w:t>suggest</w:t>
      </w:r>
      <w:r w:rsidR="00526252">
        <w:rPr>
          <w:lang w:val="en-GB"/>
        </w:rPr>
        <w:t xml:space="preserve">ing that technology </w:t>
      </w:r>
      <w:r w:rsidR="0048030B">
        <w:rPr>
          <w:lang w:val="en-GB"/>
        </w:rPr>
        <w:t>sh</w:t>
      </w:r>
      <w:r w:rsidR="00526252">
        <w:rPr>
          <w:lang w:val="en-GB"/>
        </w:rPr>
        <w:t xml:space="preserve">ould be particularly important </w:t>
      </w:r>
      <w:r w:rsidR="00310648">
        <w:rPr>
          <w:lang w:val="en-GB"/>
        </w:rPr>
        <w:t>for</w:t>
      </w:r>
      <w:r w:rsidR="00526252">
        <w:rPr>
          <w:lang w:val="en-GB"/>
        </w:rPr>
        <w:t xml:space="preserve"> developing countries where significant amounts of gas </w:t>
      </w:r>
      <w:r w:rsidR="00681316">
        <w:rPr>
          <w:lang w:val="en-GB"/>
        </w:rPr>
        <w:t>a</w:t>
      </w:r>
      <w:r w:rsidR="00526252">
        <w:rPr>
          <w:lang w:val="en-GB"/>
        </w:rPr>
        <w:t xml:space="preserve">re still being flared. </w:t>
      </w:r>
      <w:r w:rsidR="00310648">
        <w:rPr>
          <w:lang w:val="en-GB"/>
        </w:rPr>
        <w:t xml:space="preserve">New upstream </w:t>
      </w:r>
      <w:r w:rsidR="00526252">
        <w:rPr>
          <w:lang w:val="en-GB"/>
        </w:rPr>
        <w:t>facilities</w:t>
      </w:r>
      <w:r w:rsidR="00310648">
        <w:rPr>
          <w:lang w:val="en-GB"/>
        </w:rPr>
        <w:t xml:space="preserve"> in these countries</w:t>
      </w:r>
      <w:r w:rsidR="00526252">
        <w:rPr>
          <w:lang w:val="en-GB"/>
        </w:rPr>
        <w:t xml:space="preserve"> </w:t>
      </w:r>
      <w:r w:rsidR="00310648">
        <w:rPr>
          <w:lang w:val="en-GB"/>
        </w:rPr>
        <w:t>should be</w:t>
      </w:r>
      <w:r w:rsidR="00526252">
        <w:rPr>
          <w:lang w:val="en-GB"/>
        </w:rPr>
        <w:t xml:space="preserve"> </w:t>
      </w:r>
      <w:r w:rsidR="00310648">
        <w:rPr>
          <w:lang w:val="en-GB"/>
        </w:rPr>
        <w:t xml:space="preserve">properly </w:t>
      </w:r>
      <w:r w:rsidR="00526252">
        <w:rPr>
          <w:lang w:val="en-GB"/>
        </w:rPr>
        <w:t>designed</w:t>
      </w:r>
      <w:r w:rsidR="00310648">
        <w:rPr>
          <w:lang w:val="en-GB"/>
        </w:rPr>
        <w:t xml:space="preserve"> to minimise flaring and venting, and the group could write down a few best practices on that</w:t>
      </w:r>
      <w:r w:rsidR="00526252">
        <w:rPr>
          <w:lang w:val="en-GB"/>
        </w:rPr>
        <w:t>.</w:t>
      </w:r>
    </w:p>
    <w:p w:rsidR="00D87377" w:rsidRPr="00526252" w:rsidRDefault="00D87377" w:rsidP="00701FF2">
      <w:pPr>
        <w:ind w:firstLine="708"/>
        <w:rPr>
          <w:lang w:val="en-GB"/>
        </w:rPr>
      </w:pPr>
      <w:r>
        <w:rPr>
          <w:lang w:val="en-GB"/>
        </w:rPr>
        <w:t>The report draft produced by the group contains an introductory section and a</w:t>
      </w:r>
      <w:r w:rsidR="00A5798B">
        <w:rPr>
          <w:lang w:val="en-GB"/>
        </w:rPr>
        <w:t xml:space="preserve"> good</w:t>
      </w:r>
      <w:r>
        <w:rPr>
          <w:lang w:val="en-GB"/>
        </w:rPr>
        <w:t xml:space="preserve"> review of some</w:t>
      </w:r>
      <w:r w:rsidR="00A5798B">
        <w:rPr>
          <w:lang w:val="en-GB"/>
        </w:rPr>
        <w:t xml:space="preserve"> important</w:t>
      </w:r>
      <w:r>
        <w:rPr>
          <w:lang w:val="en-GB"/>
        </w:rPr>
        <w:t xml:space="preserve"> reservoir and drilling technologies. Although well structured, a section on the most important production systems is still </w:t>
      </w:r>
      <w:r w:rsidR="00A5798B">
        <w:rPr>
          <w:lang w:val="en-GB"/>
        </w:rPr>
        <w:t>under</w:t>
      </w:r>
      <w:r>
        <w:rPr>
          <w:lang w:val="en-GB"/>
        </w:rPr>
        <w:t xml:space="preserve"> develop</w:t>
      </w:r>
      <w:r w:rsidR="00A5798B">
        <w:rPr>
          <w:lang w:val="en-GB"/>
        </w:rPr>
        <w:t>ment</w:t>
      </w:r>
      <w:r>
        <w:rPr>
          <w:lang w:val="en-GB"/>
        </w:rPr>
        <w:t>. The gas monetization section and the case study presented will also require some work, with more focus on technological innovation</w:t>
      </w:r>
      <w:r w:rsidR="00A5798B">
        <w:rPr>
          <w:lang w:val="en-GB"/>
        </w:rPr>
        <w:t xml:space="preserve">.  The current content of the gas to power subsection seems to be more related to the scope of activities WOC </w:t>
      </w:r>
      <w:proofErr w:type="gramStart"/>
      <w:r w:rsidR="00A5798B">
        <w:rPr>
          <w:lang w:val="en-GB"/>
        </w:rPr>
        <w:t>5,</w:t>
      </w:r>
      <w:proofErr w:type="gramEnd"/>
      <w:r w:rsidR="00A5798B">
        <w:rPr>
          <w:lang w:val="en-GB"/>
        </w:rPr>
        <w:t xml:space="preserve"> a different approach will be required there as well. </w:t>
      </w:r>
    </w:p>
    <w:p w:rsidR="007D79E2" w:rsidRDefault="007D79E2" w:rsidP="007D79E2">
      <w:pPr>
        <w:pStyle w:val="Ttulo2"/>
        <w:numPr>
          <w:ilvl w:val="1"/>
          <w:numId w:val="1"/>
        </w:numPr>
        <w:ind w:left="0" w:firstLine="0"/>
        <w:rPr>
          <w:lang w:val="en-US"/>
        </w:rPr>
      </w:pPr>
      <w:r>
        <w:rPr>
          <w:lang w:val="en-US"/>
        </w:rPr>
        <w:t xml:space="preserve">SG 1.2 Assessment of </w:t>
      </w:r>
      <w:r w:rsidR="00146CBD">
        <w:rPr>
          <w:lang w:val="en-US"/>
        </w:rPr>
        <w:t>R</w:t>
      </w:r>
      <w:r>
        <w:rPr>
          <w:lang w:val="en-US"/>
        </w:rPr>
        <w:t xml:space="preserve">eserves and </w:t>
      </w:r>
      <w:r w:rsidR="00146CBD">
        <w:rPr>
          <w:lang w:val="en-US"/>
        </w:rPr>
        <w:t>R</w:t>
      </w:r>
      <w:r>
        <w:rPr>
          <w:lang w:val="en-US"/>
        </w:rPr>
        <w:t>esources</w:t>
      </w:r>
    </w:p>
    <w:p w:rsidR="00837C20" w:rsidRDefault="00A5798B" w:rsidP="00A06B12">
      <w:pPr>
        <w:ind w:firstLine="708"/>
        <w:rPr>
          <w:lang w:val="en-US"/>
        </w:rPr>
      </w:pPr>
      <w:r w:rsidRPr="005B1C1A">
        <w:rPr>
          <w:lang w:val="en-US"/>
        </w:rPr>
        <w:t>Dr. Marcos de Freitas Sugaya</w:t>
      </w:r>
      <w:r w:rsidR="008262E6">
        <w:rPr>
          <w:lang w:val="en-US"/>
        </w:rPr>
        <w:t xml:space="preserve"> (</w:t>
      </w:r>
      <w:proofErr w:type="spellStart"/>
      <w:r w:rsidR="008262E6">
        <w:rPr>
          <w:lang w:val="en-US"/>
        </w:rPr>
        <w:t>Petrobras</w:t>
      </w:r>
      <w:proofErr w:type="spellEnd"/>
      <w:r w:rsidR="008262E6">
        <w:rPr>
          <w:lang w:val="en-US"/>
        </w:rPr>
        <w:t>)</w:t>
      </w:r>
      <w:r>
        <w:rPr>
          <w:lang w:val="en-US"/>
        </w:rPr>
        <w:t xml:space="preserve"> tried to negotiate the use of figures and data on drilling for conventional gas with IHS CERA, but permission was granted for only one figure, </w:t>
      </w:r>
      <w:r w:rsidR="000E3FAB">
        <w:rPr>
          <w:lang w:val="en-US"/>
        </w:rPr>
        <w:t>in which gas discoveries are shown to have recently fallen to their lowest level in many decades, in spite of a considerable increase in the exploratory activity. As the success ratio decreases and a severe inflation is observed in the upstream activity, it is hard to believe that prices could be reduced, as the unconventional gas revolution remains confined in North America.</w:t>
      </w:r>
    </w:p>
    <w:p w:rsidR="000E3FAB" w:rsidRDefault="000E3FAB" w:rsidP="00A06B12">
      <w:pPr>
        <w:ind w:firstLine="708"/>
        <w:rPr>
          <w:lang w:val="en-US"/>
        </w:rPr>
      </w:pPr>
      <w:r>
        <w:rPr>
          <w:lang w:val="en-US"/>
        </w:rPr>
        <w:t>The report draft produced by the group contains a section for unconventional gas whose definitions will be consolidated in the next few months. This is a theme of relevance, as the English word “shale” is often confused with “schist” in Spanish, French, Portuguese and other languages, while the differentiation between shale and tight gas in the literature is often grey.</w:t>
      </w:r>
    </w:p>
    <w:p w:rsidR="005B1C1A" w:rsidRPr="00A5798B" w:rsidRDefault="005B1C1A" w:rsidP="00A06B12">
      <w:pPr>
        <w:ind w:firstLine="708"/>
        <w:rPr>
          <w:lang w:val="en-US"/>
        </w:rPr>
      </w:pPr>
      <w:r>
        <w:rPr>
          <w:lang w:val="en-US"/>
        </w:rPr>
        <w:t xml:space="preserve">The other sections of the report deliver on how hub pricing is affecting upstream investment, and on the growing role of the independent producers of oil and gas, but much remains to be done in the next few months, as the group is expected to complete its report by September 2014. </w:t>
      </w:r>
    </w:p>
    <w:p w:rsidR="00B25030" w:rsidRPr="00B25030" w:rsidRDefault="007D79E2" w:rsidP="00B25030">
      <w:pPr>
        <w:pStyle w:val="Ttulo2"/>
        <w:numPr>
          <w:ilvl w:val="1"/>
          <w:numId w:val="1"/>
        </w:numPr>
        <w:ind w:left="0" w:firstLine="0"/>
        <w:rPr>
          <w:lang w:val="en-US"/>
        </w:rPr>
      </w:pPr>
      <w:r>
        <w:rPr>
          <w:lang w:val="en-US"/>
        </w:rPr>
        <w:t xml:space="preserve">SG 1.3 Gas rent and </w:t>
      </w:r>
      <w:r w:rsidR="00146CBD">
        <w:rPr>
          <w:lang w:val="en-US"/>
        </w:rPr>
        <w:t>M</w:t>
      </w:r>
      <w:r>
        <w:rPr>
          <w:lang w:val="en-US"/>
        </w:rPr>
        <w:t xml:space="preserve">ineral </w:t>
      </w:r>
      <w:r w:rsidR="00146CBD">
        <w:rPr>
          <w:lang w:val="en-US"/>
        </w:rPr>
        <w:t>P</w:t>
      </w:r>
      <w:r>
        <w:rPr>
          <w:lang w:val="en-US"/>
        </w:rPr>
        <w:t xml:space="preserve">roperty </w:t>
      </w:r>
      <w:r w:rsidR="00146CBD">
        <w:rPr>
          <w:lang w:val="en-US"/>
        </w:rPr>
        <w:t>R</w:t>
      </w:r>
      <w:r>
        <w:rPr>
          <w:lang w:val="en-US"/>
        </w:rPr>
        <w:t>ights</w:t>
      </w:r>
    </w:p>
    <w:p w:rsidR="00B25030" w:rsidRPr="006979CB" w:rsidRDefault="005B1C1A" w:rsidP="00B25030">
      <w:pPr>
        <w:ind w:firstLine="708"/>
        <w:rPr>
          <w:lang w:val="en-US"/>
        </w:rPr>
      </w:pPr>
      <w:r>
        <w:rPr>
          <w:b/>
          <w:lang w:val="en-US"/>
        </w:rPr>
        <w:t xml:space="preserve">Dr. </w:t>
      </w:r>
      <w:r w:rsidR="00B25030" w:rsidRPr="008B4551">
        <w:rPr>
          <w:b/>
          <w:lang w:val="en-US"/>
        </w:rPr>
        <w:t>Marcos de Freitas Sugaya</w:t>
      </w:r>
      <w:r w:rsidR="00266EC7" w:rsidRPr="00266EC7">
        <w:rPr>
          <w:lang w:val="en-US"/>
        </w:rPr>
        <w:t xml:space="preserve"> (</w:t>
      </w:r>
      <w:proofErr w:type="spellStart"/>
      <w:r w:rsidR="00266EC7" w:rsidRPr="00266EC7">
        <w:rPr>
          <w:lang w:val="en-US"/>
        </w:rPr>
        <w:t>Petrobras</w:t>
      </w:r>
      <w:proofErr w:type="spellEnd"/>
      <w:r w:rsidR="00266EC7" w:rsidRPr="00266EC7">
        <w:rPr>
          <w:lang w:val="en-US"/>
        </w:rPr>
        <w:t>)</w:t>
      </w:r>
      <w:r w:rsidR="00B25030" w:rsidRPr="00142B22">
        <w:rPr>
          <w:lang w:val="en-US"/>
        </w:rPr>
        <w:t xml:space="preserve"> </w:t>
      </w:r>
      <w:r w:rsidR="00B25030">
        <w:rPr>
          <w:lang w:val="en-US"/>
        </w:rPr>
        <w:t xml:space="preserve">presented </w:t>
      </w:r>
      <w:r w:rsidR="00CD3B5E">
        <w:rPr>
          <w:lang w:val="en-US"/>
        </w:rPr>
        <w:t xml:space="preserve">on </w:t>
      </w:r>
      <w:r w:rsidR="00B25030">
        <w:rPr>
          <w:lang w:val="en-US"/>
        </w:rPr>
        <w:t>the</w:t>
      </w:r>
      <w:r w:rsidR="00CD3B5E">
        <w:rPr>
          <w:lang w:val="en-US"/>
        </w:rPr>
        <w:t xml:space="preserve"> most important</w:t>
      </w:r>
      <w:r w:rsidR="00B25030">
        <w:rPr>
          <w:lang w:val="en-US"/>
        </w:rPr>
        <w:t xml:space="preserve"> results</w:t>
      </w:r>
      <w:r w:rsidR="00CD3B5E">
        <w:rPr>
          <w:lang w:val="en-US"/>
        </w:rPr>
        <w:t xml:space="preserve"> obtained by the group, whose best practices recommend government authorities to focus on progressive instruments based on profits in lieu of signature bonuses</w:t>
      </w:r>
      <w:r w:rsidR="00C4017B">
        <w:rPr>
          <w:lang w:val="en-US"/>
        </w:rPr>
        <w:t>,</w:t>
      </w:r>
      <w:r w:rsidR="00CD3B5E">
        <w:rPr>
          <w:lang w:val="en-US"/>
        </w:rPr>
        <w:t xml:space="preserve"> flat royalty rates</w:t>
      </w:r>
      <w:r w:rsidR="00C4017B">
        <w:rPr>
          <w:lang w:val="en-US"/>
        </w:rPr>
        <w:t xml:space="preserve"> and other regressive instruments</w:t>
      </w:r>
      <w:r w:rsidR="00CD3B5E">
        <w:rPr>
          <w:lang w:val="en-US"/>
        </w:rPr>
        <w:t xml:space="preserve"> based on production</w:t>
      </w:r>
      <w:r w:rsidR="00B25030">
        <w:rPr>
          <w:lang w:val="en-US"/>
        </w:rPr>
        <w:t>.</w:t>
      </w:r>
      <w:r w:rsidR="00CD3B5E">
        <w:rPr>
          <w:lang w:val="en-US"/>
        </w:rPr>
        <w:t xml:space="preserve"> Among all case studies investigated by the group, the USA </w:t>
      </w:r>
      <w:r w:rsidR="008262E6">
        <w:rPr>
          <w:lang w:val="en-US"/>
        </w:rPr>
        <w:t>was one of the most interesting</w:t>
      </w:r>
      <w:r w:rsidR="00CD3B5E">
        <w:rPr>
          <w:lang w:val="en-US"/>
        </w:rPr>
        <w:t>, as government take</w:t>
      </w:r>
      <w:r w:rsidR="008262E6">
        <w:rPr>
          <w:lang w:val="en-US"/>
        </w:rPr>
        <w:t xml:space="preserve"> there</w:t>
      </w:r>
      <w:r w:rsidR="00B348F6">
        <w:rPr>
          <w:lang w:val="en-US"/>
        </w:rPr>
        <w:t xml:space="preserve"> </w:t>
      </w:r>
      <w:r w:rsidR="00CD3B5E">
        <w:rPr>
          <w:lang w:val="en-US"/>
        </w:rPr>
        <w:t>is the smallest</w:t>
      </w:r>
      <w:r w:rsidR="00B348F6">
        <w:rPr>
          <w:lang w:val="en-US"/>
        </w:rPr>
        <w:t>,</w:t>
      </w:r>
      <w:r w:rsidR="00CD3B5E">
        <w:rPr>
          <w:lang w:val="en-US"/>
        </w:rPr>
        <w:t xml:space="preserve"> and additional efforts </w:t>
      </w:r>
      <w:r w:rsidR="00B348F6">
        <w:rPr>
          <w:lang w:val="en-US"/>
        </w:rPr>
        <w:t>have been</w:t>
      </w:r>
      <w:r w:rsidR="00CD3B5E">
        <w:rPr>
          <w:lang w:val="en-US"/>
        </w:rPr>
        <w:t xml:space="preserve"> </w:t>
      </w:r>
      <w:r w:rsidR="00B348F6">
        <w:rPr>
          <w:lang w:val="en-US"/>
        </w:rPr>
        <w:t xml:space="preserve">recently </w:t>
      </w:r>
      <w:r w:rsidR="00CD3B5E">
        <w:rPr>
          <w:lang w:val="en-US"/>
        </w:rPr>
        <w:t xml:space="preserve">undertaken to further reduce the upstream taxation. </w:t>
      </w:r>
      <w:r w:rsidR="00B348F6">
        <w:rPr>
          <w:lang w:val="en-US"/>
        </w:rPr>
        <w:t>However, a growing discussion is taking place</w:t>
      </w:r>
      <w:r w:rsidR="00C4017B">
        <w:rPr>
          <w:lang w:val="en-US"/>
        </w:rPr>
        <w:t xml:space="preserve"> there</w:t>
      </w:r>
      <w:r w:rsidR="00B348F6">
        <w:rPr>
          <w:lang w:val="en-US"/>
        </w:rPr>
        <w:t xml:space="preserve"> in the opposite direction</w:t>
      </w:r>
      <w:r w:rsidR="00C4017B">
        <w:rPr>
          <w:lang w:val="en-US"/>
        </w:rPr>
        <w:t xml:space="preserve">, </w:t>
      </w:r>
      <w:r w:rsidR="008262E6">
        <w:rPr>
          <w:lang w:val="en-US"/>
        </w:rPr>
        <w:t>and this could severely hit</w:t>
      </w:r>
      <w:r w:rsidR="00C4017B">
        <w:rPr>
          <w:lang w:val="en-US"/>
        </w:rPr>
        <w:t xml:space="preserve"> </w:t>
      </w:r>
      <w:r w:rsidR="00C4017B">
        <w:rPr>
          <w:lang w:val="en-US"/>
        </w:rPr>
        <w:t>the independent producers</w:t>
      </w:r>
      <w:r w:rsidR="008262E6">
        <w:rPr>
          <w:lang w:val="en-US"/>
        </w:rPr>
        <w:t>,</w:t>
      </w:r>
      <w:r w:rsidR="00C4017B">
        <w:rPr>
          <w:lang w:val="en-US"/>
        </w:rPr>
        <w:t xml:space="preserve"> </w:t>
      </w:r>
      <w:r w:rsidR="008262E6">
        <w:rPr>
          <w:lang w:val="en-US"/>
        </w:rPr>
        <w:t>which</w:t>
      </w:r>
      <w:r w:rsidR="00C4017B">
        <w:rPr>
          <w:lang w:val="en-US"/>
        </w:rPr>
        <w:t xml:space="preserve"> were ultimately responsible for the revolution of </w:t>
      </w:r>
      <w:proofErr w:type="spellStart"/>
      <w:r w:rsidR="00C4017B">
        <w:rPr>
          <w:lang w:val="en-US"/>
        </w:rPr>
        <w:t>unconventional</w:t>
      </w:r>
      <w:r w:rsidR="008262E6">
        <w:rPr>
          <w:lang w:val="en-US"/>
        </w:rPr>
        <w:t>s</w:t>
      </w:r>
      <w:proofErr w:type="spellEnd"/>
      <w:r w:rsidR="00B348F6">
        <w:rPr>
          <w:lang w:val="en-US"/>
        </w:rPr>
        <w:t xml:space="preserve">. </w:t>
      </w:r>
      <w:r w:rsidR="00CD3B5E">
        <w:rPr>
          <w:lang w:val="en-US"/>
        </w:rPr>
        <w:t>According to</w:t>
      </w:r>
      <w:r w:rsidR="00B348F6">
        <w:rPr>
          <w:lang w:val="en-US"/>
        </w:rPr>
        <w:t xml:space="preserve"> a</w:t>
      </w:r>
      <w:r w:rsidR="00CD3B5E">
        <w:rPr>
          <w:lang w:val="en-US"/>
        </w:rPr>
        <w:t xml:space="preserve"> recent report delivered by </w:t>
      </w:r>
      <w:proofErr w:type="spellStart"/>
      <w:r w:rsidR="00CD3B5E">
        <w:rPr>
          <w:lang w:val="en-US"/>
        </w:rPr>
        <w:t>WoodMackenzie</w:t>
      </w:r>
      <w:proofErr w:type="spellEnd"/>
      <w:r w:rsidR="00CD3B5E">
        <w:rPr>
          <w:lang w:val="en-US"/>
        </w:rPr>
        <w:t>, a reduction of 3.8 million bpd could be observed in</w:t>
      </w:r>
      <w:r w:rsidR="008262E6">
        <w:rPr>
          <w:lang w:val="en-US"/>
        </w:rPr>
        <w:t xml:space="preserve"> </w:t>
      </w:r>
      <w:r w:rsidR="00CD3B5E">
        <w:rPr>
          <w:lang w:val="en-US"/>
        </w:rPr>
        <w:t>10 years if the current tax treatment of intangible drilling and development costs</w:t>
      </w:r>
      <w:r w:rsidR="00B348F6">
        <w:rPr>
          <w:lang w:val="en-US"/>
        </w:rPr>
        <w:t xml:space="preserve"> was ended in the USA. </w:t>
      </w:r>
    </w:p>
    <w:p w:rsidR="00A22BC4" w:rsidRDefault="00A22BC4" w:rsidP="00A22BC4">
      <w:pPr>
        <w:ind w:firstLine="708"/>
        <w:rPr>
          <w:lang w:val="en-US"/>
        </w:rPr>
      </w:pPr>
      <w:r>
        <w:rPr>
          <w:b/>
          <w:lang w:val="en-US"/>
        </w:rPr>
        <w:t xml:space="preserve">Mr. </w:t>
      </w:r>
      <w:proofErr w:type="spellStart"/>
      <w:r>
        <w:rPr>
          <w:b/>
          <w:lang w:val="en-US"/>
        </w:rPr>
        <w:t>Pawel</w:t>
      </w:r>
      <w:proofErr w:type="spellEnd"/>
      <w:r>
        <w:rPr>
          <w:b/>
          <w:lang w:val="en-US"/>
        </w:rPr>
        <w:t xml:space="preserve"> </w:t>
      </w:r>
      <w:proofErr w:type="spellStart"/>
      <w:r>
        <w:rPr>
          <w:b/>
          <w:lang w:val="en-US"/>
        </w:rPr>
        <w:t>Jagosiak</w:t>
      </w:r>
      <w:proofErr w:type="spellEnd"/>
      <w:r w:rsidRPr="00923C5E">
        <w:rPr>
          <w:lang w:val="en-US"/>
        </w:rPr>
        <w:t xml:space="preserve"> (</w:t>
      </w:r>
      <w:proofErr w:type="spellStart"/>
      <w:r w:rsidRPr="00923C5E">
        <w:rPr>
          <w:lang w:val="en-US"/>
        </w:rPr>
        <w:t>PGNiG</w:t>
      </w:r>
      <w:proofErr w:type="spellEnd"/>
      <w:r w:rsidRPr="00923C5E">
        <w:rPr>
          <w:lang w:val="en-US"/>
        </w:rPr>
        <w:t>)</w:t>
      </w:r>
      <w:r>
        <w:rPr>
          <w:lang w:val="en-US"/>
        </w:rPr>
        <w:t xml:space="preserve"> </w:t>
      </w:r>
      <w:proofErr w:type="spellStart"/>
      <w:r w:rsidR="009D53F7">
        <w:rPr>
          <w:lang w:val="en-US"/>
        </w:rPr>
        <w:t>analysed</w:t>
      </w:r>
      <w:proofErr w:type="spellEnd"/>
      <w:r>
        <w:rPr>
          <w:lang w:val="en-US"/>
        </w:rPr>
        <w:t xml:space="preserve"> the tax regime in place at the Norwegian continental shelf (NCS). Activities are relatively expensive there, and the tax </w:t>
      </w:r>
      <w:proofErr w:type="gramStart"/>
      <w:r>
        <w:rPr>
          <w:lang w:val="en-US"/>
        </w:rPr>
        <w:t xml:space="preserve">system is </w:t>
      </w:r>
      <w:r w:rsidR="009517C5">
        <w:rPr>
          <w:lang w:val="en-US"/>
        </w:rPr>
        <w:t xml:space="preserve">also </w:t>
      </w:r>
      <w:r>
        <w:rPr>
          <w:lang w:val="en-US"/>
        </w:rPr>
        <w:t>complex, but</w:t>
      </w:r>
      <w:r w:rsidR="009517C5">
        <w:rPr>
          <w:lang w:val="en-US"/>
        </w:rPr>
        <w:t xml:space="preserve"> at the same time</w:t>
      </w:r>
      <w:r>
        <w:rPr>
          <w:lang w:val="en-US"/>
        </w:rPr>
        <w:t xml:space="preserve"> there are many built in incentives</w:t>
      </w:r>
      <w:r w:rsidR="00156A56">
        <w:rPr>
          <w:lang w:val="en-US"/>
        </w:rPr>
        <w:t xml:space="preserve"> </w:t>
      </w:r>
      <w:r>
        <w:rPr>
          <w:lang w:val="en-US"/>
        </w:rPr>
        <w:t>and many upstream companies have</w:t>
      </w:r>
      <w:proofErr w:type="gramEnd"/>
      <w:r>
        <w:rPr>
          <w:lang w:val="en-US"/>
        </w:rPr>
        <w:t xml:space="preserve"> been attracted to this region </w:t>
      </w:r>
      <w:r w:rsidR="007529A6">
        <w:rPr>
          <w:lang w:val="en-US"/>
        </w:rPr>
        <w:t>as a consequence</w:t>
      </w:r>
      <w:r>
        <w:rPr>
          <w:lang w:val="en-US"/>
        </w:rPr>
        <w:t xml:space="preserve">.  </w:t>
      </w:r>
      <w:r w:rsidR="00C429B1">
        <w:rPr>
          <w:lang w:val="en-US"/>
        </w:rPr>
        <w:t xml:space="preserve">In the vast majority of the cases a </w:t>
      </w:r>
      <w:r w:rsidR="00B45F01">
        <w:rPr>
          <w:lang w:val="en-US"/>
        </w:rPr>
        <w:t xml:space="preserve">minimal </w:t>
      </w:r>
      <w:r w:rsidR="00C429B1">
        <w:rPr>
          <w:lang w:val="en-US"/>
        </w:rPr>
        <w:t xml:space="preserve">working </w:t>
      </w:r>
      <w:r w:rsidR="00B45F01">
        <w:rPr>
          <w:lang w:val="en-US"/>
        </w:rPr>
        <w:t>commitment</w:t>
      </w:r>
      <w:r w:rsidR="00C429B1">
        <w:rPr>
          <w:lang w:val="en-US"/>
        </w:rPr>
        <w:t xml:space="preserve"> is required, </w:t>
      </w:r>
      <w:r w:rsidR="00B45F01">
        <w:rPr>
          <w:lang w:val="en-US"/>
        </w:rPr>
        <w:t>the most common</w:t>
      </w:r>
      <w:r w:rsidR="007529A6">
        <w:rPr>
          <w:lang w:val="en-US"/>
        </w:rPr>
        <w:t xml:space="preserve"> one</w:t>
      </w:r>
      <w:r w:rsidR="00B45F01">
        <w:rPr>
          <w:lang w:val="en-US"/>
        </w:rPr>
        <w:t xml:space="preserve"> being a drill or drop obligation. </w:t>
      </w:r>
      <w:r w:rsidR="009D53F7">
        <w:rPr>
          <w:lang w:val="en-US"/>
        </w:rPr>
        <w:t xml:space="preserve">As seen in Sapporo, the marginal tax rate is 78% but the allowance for capital expenditure is also large (93%), with </w:t>
      </w:r>
      <w:proofErr w:type="gramStart"/>
      <w:r w:rsidR="009D53F7">
        <w:rPr>
          <w:lang w:val="en-US"/>
        </w:rPr>
        <w:t>a</w:t>
      </w:r>
      <w:bookmarkStart w:id="2" w:name="_GoBack"/>
      <w:bookmarkEnd w:id="2"/>
      <w:r w:rsidR="009D53F7">
        <w:rPr>
          <w:lang w:val="en-US"/>
        </w:rPr>
        <w:t xml:space="preserve"> 30</w:t>
      </w:r>
      <w:proofErr w:type="gramEnd"/>
      <w:r w:rsidR="009D53F7">
        <w:rPr>
          <w:lang w:val="en-US"/>
        </w:rPr>
        <w:t xml:space="preserve">% uplift, and the authorities refund 78% of the exploratory cost, minimizing the impact of dry holes and cost overruns. </w:t>
      </w:r>
    </w:p>
    <w:p w:rsidR="009D53F7" w:rsidRDefault="009D53F7" w:rsidP="00A22BC4">
      <w:pPr>
        <w:ind w:firstLine="708"/>
        <w:rPr>
          <w:lang w:val="en-US"/>
        </w:rPr>
      </w:pPr>
      <w:r>
        <w:rPr>
          <w:b/>
          <w:lang w:val="en-US"/>
        </w:rPr>
        <w:t xml:space="preserve">Mr. </w:t>
      </w:r>
      <w:proofErr w:type="spellStart"/>
      <w:r>
        <w:rPr>
          <w:b/>
          <w:lang w:val="en-US"/>
        </w:rPr>
        <w:t>Pawel</w:t>
      </w:r>
      <w:proofErr w:type="spellEnd"/>
      <w:r>
        <w:rPr>
          <w:b/>
          <w:lang w:val="en-US"/>
        </w:rPr>
        <w:t xml:space="preserve"> </w:t>
      </w:r>
      <w:proofErr w:type="spellStart"/>
      <w:r>
        <w:rPr>
          <w:b/>
          <w:lang w:val="en-US"/>
        </w:rPr>
        <w:t>Jagosiak</w:t>
      </w:r>
      <w:proofErr w:type="spellEnd"/>
      <w:r w:rsidRPr="00923C5E">
        <w:rPr>
          <w:lang w:val="en-US"/>
        </w:rPr>
        <w:t xml:space="preserve"> (</w:t>
      </w:r>
      <w:proofErr w:type="spellStart"/>
      <w:r w:rsidRPr="00923C5E">
        <w:rPr>
          <w:lang w:val="en-US"/>
        </w:rPr>
        <w:t>PGNiG</w:t>
      </w:r>
      <w:proofErr w:type="spellEnd"/>
      <w:r w:rsidRPr="00923C5E">
        <w:rPr>
          <w:lang w:val="en-US"/>
        </w:rPr>
        <w:t>)</w:t>
      </w:r>
      <w:r>
        <w:rPr>
          <w:lang w:val="en-US"/>
        </w:rPr>
        <w:t xml:space="preserve"> has also described </w:t>
      </w:r>
      <w:r w:rsidR="003A27DF">
        <w:rPr>
          <w:lang w:val="en-US"/>
        </w:rPr>
        <w:t xml:space="preserve">some of the upstream activity in Poland, where significant amounts of unconventional gas have been announced in the press. Only 12 wells have been drilled so far by </w:t>
      </w:r>
      <w:proofErr w:type="spellStart"/>
      <w:r w:rsidR="003A27DF">
        <w:rPr>
          <w:lang w:val="en-US"/>
        </w:rPr>
        <w:t>PGNiG</w:t>
      </w:r>
      <w:proofErr w:type="spellEnd"/>
      <w:r w:rsidR="003A27DF">
        <w:rPr>
          <w:lang w:val="en-US"/>
        </w:rPr>
        <w:t xml:space="preserve">, but 9 more are planned for 2014 in Baltic, Central Poland and Lublin Basins. </w:t>
      </w:r>
    </w:p>
    <w:p w:rsidR="00923C5E" w:rsidRDefault="00142B22" w:rsidP="003A27DF">
      <w:pPr>
        <w:ind w:firstLine="708"/>
        <w:rPr>
          <w:lang w:val="en-US"/>
        </w:rPr>
      </w:pPr>
      <w:proofErr w:type="spellStart"/>
      <w:r w:rsidRPr="00142B22">
        <w:rPr>
          <w:b/>
          <w:lang w:val="en-US"/>
        </w:rPr>
        <w:t>Zainal</w:t>
      </w:r>
      <w:proofErr w:type="spellEnd"/>
      <w:r w:rsidRPr="00142B22">
        <w:rPr>
          <w:b/>
          <w:lang w:val="en-US"/>
        </w:rPr>
        <w:t xml:space="preserve"> </w:t>
      </w:r>
      <w:proofErr w:type="spellStart"/>
      <w:r w:rsidRPr="00142B22">
        <w:rPr>
          <w:b/>
          <w:lang w:val="en-US"/>
        </w:rPr>
        <w:t>Abidin</w:t>
      </w:r>
      <w:proofErr w:type="spellEnd"/>
      <w:r w:rsidRPr="00142B22">
        <w:rPr>
          <w:b/>
          <w:lang w:val="en-US"/>
        </w:rPr>
        <w:t xml:space="preserve"> </w:t>
      </w:r>
      <w:proofErr w:type="spellStart"/>
      <w:r w:rsidRPr="00142B22">
        <w:rPr>
          <w:b/>
          <w:lang w:val="en-US"/>
        </w:rPr>
        <w:t>Zainudin</w:t>
      </w:r>
      <w:proofErr w:type="spellEnd"/>
      <w:r>
        <w:rPr>
          <w:lang w:val="en-US"/>
        </w:rPr>
        <w:t xml:space="preserve"> (</w:t>
      </w:r>
      <w:proofErr w:type="spellStart"/>
      <w:r>
        <w:rPr>
          <w:lang w:val="en-US"/>
        </w:rPr>
        <w:t>Petronas</w:t>
      </w:r>
      <w:proofErr w:type="spellEnd"/>
      <w:r>
        <w:rPr>
          <w:lang w:val="en-US"/>
        </w:rPr>
        <w:t xml:space="preserve">) </w:t>
      </w:r>
      <w:r w:rsidR="003A27DF">
        <w:rPr>
          <w:lang w:val="en-US"/>
        </w:rPr>
        <w:t>presented</w:t>
      </w:r>
      <w:r w:rsidR="00380947" w:rsidRPr="00380947">
        <w:rPr>
          <w:lang w:val="en-US"/>
        </w:rPr>
        <w:t xml:space="preserve"> some of the experience gathered in Canada by Progress Canada Energy Ltd., which is drilling in North </w:t>
      </w:r>
      <w:proofErr w:type="spellStart"/>
      <w:r w:rsidR="00380947" w:rsidRPr="00380947">
        <w:rPr>
          <w:lang w:val="en-US"/>
        </w:rPr>
        <w:t>Montney</w:t>
      </w:r>
      <w:proofErr w:type="spellEnd"/>
      <w:r w:rsidR="00380947" w:rsidRPr="00380947">
        <w:rPr>
          <w:lang w:val="en-US"/>
        </w:rPr>
        <w:t xml:space="preserve"> (BC) and Deep Basin (AB). Typical drilling costs for shale gas have been around US$ 5 million per well</w:t>
      </w:r>
      <w:r w:rsidR="007833C4">
        <w:rPr>
          <w:lang w:val="en-US"/>
        </w:rPr>
        <w:t xml:space="preserve"> there</w:t>
      </w:r>
      <w:r w:rsidR="00380947" w:rsidRPr="00380947">
        <w:rPr>
          <w:lang w:val="en-US"/>
        </w:rPr>
        <w:t xml:space="preserve">, and some logistical challenges </w:t>
      </w:r>
      <w:r w:rsidR="007833C4">
        <w:rPr>
          <w:lang w:val="en-US"/>
        </w:rPr>
        <w:t xml:space="preserve">still </w:t>
      </w:r>
      <w:r w:rsidR="00380947" w:rsidRPr="00380947">
        <w:rPr>
          <w:lang w:val="en-US"/>
        </w:rPr>
        <w:t xml:space="preserve">subsist, but </w:t>
      </w:r>
      <w:r w:rsidR="007833C4">
        <w:rPr>
          <w:lang w:val="en-US"/>
        </w:rPr>
        <w:t xml:space="preserve">these have been confronted by means of </w:t>
      </w:r>
      <w:r w:rsidR="00380947" w:rsidRPr="00380947">
        <w:rPr>
          <w:lang w:val="en-US"/>
        </w:rPr>
        <w:t>a modular design of facilities</w:t>
      </w:r>
      <w:r w:rsidR="007833C4">
        <w:rPr>
          <w:lang w:val="en-US"/>
        </w:rPr>
        <w:t xml:space="preserve"> and the use of a </w:t>
      </w:r>
      <w:r w:rsidR="007833C4" w:rsidRPr="00380947">
        <w:rPr>
          <w:lang w:val="en-US"/>
        </w:rPr>
        <w:t>progress pod concept</w:t>
      </w:r>
      <w:r w:rsidR="00380947" w:rsidRPr="00380947">
        <w:rPr>
          <w:lang w:val="en-US"/>
        </w:rPr>
        <w:t>. In BC a deep drilling credit is available for up to three years (3% royalty).</w:t>
      </w:r>
    </w:p>
    <w:p w:rsidR="006B7807" w:rsidRDefault="00923C5E" w:rsidP="00142B22">
      <w:pPr>
        <w:ind w:firstLine="708"/>
        <w:rPr>
          <w:lang w:val="en-US"/>
        </w:rPr>
      </w:pPr>
      <w:proofErr w:type="spellStart"/>
      <w:r>
        <w:rPr>
          <w:b/>
          <w:lang w:val="en-US"/>
        </w:rPr>
        <w:t>Taeh-Yeong</w:t>
      </w:r>
      <w:proofErr w:type="spellEnd"/>
      <w:r w:rsidR="006B7807" w:rsidRPr="006B7807">
        <w:rPr>
          <w:b/>
          <w:lang w:val="en-US"/>
        </w:rPr>
        <w:t xml:space="preserve"> Lee</w:t>
      </w:r>
      <w:r w:rsidR="006B7807">
        <w:rPr>
          <w:lang w:val="en-US"/>
        </w:rPr>
        <w:t xml:space="preserve"> (</w:t>
      </w:r>
      <w:proofErr w:type="spellStart"/>
      <w:r w:rsidR="006B7807">
        <w:rPr>
          <w:lang w:val="en-US"/>
        </w:rPr>
        <w:t>Kogas</w:t>
      </w:r>
      <w:proofErr w:type="spellEnd"/>
      <w:r w:rsidR="006B7807">
        <w:rPr>
          <w:lang w:val="en-US"/>
        </w:rPr>
        <w:t>)</w:t>
      </w:r>
      <w:r>
        <w:rPr>
          <w:lang w:val="en-US"/>
        </w:rPr>
        <w:t xml:space="preserve"> wrote down on the Mozambique and Tanzania case studies developed in the previous meetings.</w:t>
      </w:r>
    </w:p>
    <w:p w:rsidR="003A27DF" w:rsidRDefault="003A27DF" w:rsidP="00142B22">
      <w:pPr>
        <w:ind w:firstLine="708"/>
        <w:rPr>
          <w:lang w:val="en-US"/>
        </w:rPr>
      </w:pPr>
      <w:r>
        <w:rPr>
          <w:lang w:val="en-US"/>
        </w:rPr>
        <w:t>The rep</w:t>
      </w:r>
      <w:r w:rsidR="007D309D">
        <w:rPr>
          <w:lang w:val="en-US"/>
        </w:rPr>
        <w:t>ort draft of the group analyses</w:t>
      </w:r>
      <w:r>
        <w:rPr>
          <w:lang w:val="en-US"/>
        </w:rPr>
        <w:t xml:space="preserve"> the most important fiscal instruments</w:t>
      </w:r>
      <w:r w:rsidR="007D309D">
        <w:rPr>
          <w:lang w:val="en-US"/>
        </w:rPr>
        <w:t xml:space="preserve"> usually</w:t>
      </w:r>
      <w:r>
        <w:rPr>
          <w:lang w:val="en-US"/>
        </w:rPr>
        <w:t xml:space="preserve"> applied to the upstream industry</w:t>
      </w:r>
      <w:r w:rsidR="007D309D">
        <w:rPr>
          <w:lang w:val="en-US"/>
        </w:rPr>
        <w:t xml:space="preserve">. It follows with a description of a number of case studies, including the USA, where a number of fiscal benefits have been applied to </w:t>
      </w:r>
      <w:proofErr w:type="spellStart"/>
      <w:r w:rsidR="007D309D">
        <w:rPr>
          <w:lang w:val="en-US"/>
        </w:rPr>
        <w:t>incentivise</w:t>
      </w:r>
      <w:proofErr w:type="spellEnd"/>
      <w:r w:rsidR="007D309D">
        <w:rPr>
          <w:lang w:val="en-US"/>
        </w:rPr>
        <w:t xml:space="preserve"> the production of oil and gas by independent companies. It then explains why gas should not be treated as oil, and finishes with some best practices aiming at government authorities.</w:t>
      </w:r>
    </w:p>
    <w:p w:rsidR="00305388" w:rsidRDefault="00305388" w:rsidP="00957212">
      <w:pPr>
        <w:pStyle w:val="Ttulo1"/>
        <w:numPr>
          <w:ilvl w:val="0"/>
          <w:numId w:val="1"/>
        </w:numPr>
        <w:rPr>
          <w:lang w:val="en-US"/>
        </w:rPr>
      </w:pPr>
      <w:r>
        <w:rPr>
          <w:lang w:val="en-US"/>
        </w:rPr>
        <w:t xml:space="preserve">Technical </w:t>
      </w:r>
      <w:r w:rsidR="00D16204">
        <w:rPr>
          <w:lang w:val="en-US"/>
        </w:rPr>
        <w:t>visit</w:t>
      </w:r>
    </w:p>
    <w:p w:rsidR="00B52269" w:rsidRPr="00B52269" w:rsidRDefault="007D309D" w:rsidP="00FC0DFB">
      <w:pPr>
        <w:ind w:firstLine="708"/>
        <w:rPr>
          <w:lang w:val="en-US"/>
        </w:rPr>
      </w:pPr>
      <w:r>
        <w:rPr>
          <w:lang w:val="en-US"/>
        </w:rPr>
        <w:t>After a final joint plenary session, in which the study group leaders presented on the status of their groups, d</w:t>
      </w:r>
      <w:r w:rsidR="00803D3A">
        <w:rPr>
          <w:lang w:val="en-US"/>
        </w:rPr>
        <w:t>elegates</w:t>
      </w:r>
      <w:r>
        <w:rPr>
          <w:lang w:val="en-US"/>
        </w:rPr>
        <w:t xml:space="preserve"> reconvened in the next morning for a </w:t>
      </w:r>
      <w:r w:rsidR="00803D3A">
        <w:rPr>
          <w:lang w:val="en-US"/>
        </w:rPr>
        <w:t>visit</w:t>
      </w:r>
      <w:r>
        <w:rPr>
          <w:lang w:val="en-US"/>
        </w:rPr>
        <w:t xml:space="preserve"> to the Incheon LNG terminal, one of the largest in the world</w:t>
      </w:r>
      <w:r w:rsidR="00CE05BD">
        <w:rPr>
          <w:lang w:val="en-US"/>
        </w:rPr>
        <w:t>.</w:t>
      </w:r>
    </w:p>
    <w:p w:rsidR="007237F8" w:rsidRPr="00491FE0" w:rsidRDefault="00957212" w:rsidP="00491FE0">
      <w:pPr>
        <w:pStyle w:val="Ttulo1"/>
        <w:numPr>
          <w:ilvl w:val="0"/>
          <w:numId w:val="1"/>
        </w:numPr>
        <w:rPr>
          <w:lang w:val="en-US"/>
        </w:rPr>
      </w:pPr>
      <w:r>
        <w:rPr>
          <w:lang w:val="en-US"/>
        </w:rPr>
        <w:t>Next meeting</w:t>
      </w:r>
    </w:p>
    <w:p w:rsidR="00BB71DC" w:rsidRDefault="007D309D" w:rsidP="00803D3A">
      <w:pPr>
        <w:ind w:firstLine="708"/>
        <w:rPr>
          <w:lang w:val="en-US"/>
        </w:rPr>
      </w:pPr>
      <w:r w:rsidRPr="007D309D">
        <w:rPr>
          <w:b/>
          <w:lang w:val="en-US"/>
        </w:rPr>
        <w:t xml:space="preserve">Mrs. Guadalupe Vargas </w:t>
      </w:r>
      <w:proofErr w:type="spellStart"/>
      <w:r w:rsidRPr="007D309D">
        <w:rPr>
          <w:b/>
          <w:lang w:val="en-US"/>
        </w:rPr>
        <w:t>Giraldo</w:t>
      </w:r>
      <w:proofErr w:type="spellEnd"/>
      <w:r>
        <w:rPr>
          <w:lang w:val="en-US"/>
        </w:rPr>
        <w:t xml:space="preserve"> (</w:t>
      </w:r>
      <w:proofErr w:type="spellStart"/>
      <w:r>
        <w:rPr>
          <w:lang w:val="en-US"/>
        </w:rPr>
        <w:t>Repsol</w:t>
      </w:r>
      <w:proofErr w:type="spellEnd"/>
      <w:r>
        <w:rPr>
          <w:lang w:val="en-US"/>
        </w:rPr>
        <w:t xml:space="preserve">) described the </w:t>
      </w:r>
      <w:proofErr w:type="spellStart"/>
      <w:r>
        <w:rPr>
          <w:lang w:val="en-US"/>
        </w:rPr>
        <w:t>preparatives</w:t>
      </w:r>
      <w:proofErr w:type="spellEnd"/>
      <w:r>
        <w:rPr>
          <w:lang w:val="en-US"/>
        </w:rPr>
        <w:t xml:space="preserve"> for the next meeting of WOC 1 in Madrid, 23-26 September 2014</w:t>
      </w:r>
      <w:r w:rsidR="00491FE0">
        <w:rPr>
          <w:lang w:val="en-US"/>
        </w:rPr>
        <w:t>.</w:t>
      </w:r>
      <w:r>
        <w:rPr>
          <w:lang w:val="en-US"/>
        </w:rPr>
        <w:t xml:space="preserve"> Delegates will select the best contributions for WGC 2015</w:t>
      </w:r>
      <w:r w:rsidR="00305AA7">
        <w:rPr>
          <w:lang w:val="en-US"/>
        </w:rPr>
        <w:t xml:space="preserve"> using</w:t>
      </w:r>
      <w:r>
        <w:rPr>
          <w:lang w:val="en-US"/>
        </w:rPr>
        <w:t xml:space="preserve"> the rating system described in her presentation</w:t>
      </w:r>
      <w:r w:rsidR="00433D9E">
        <w:rPr>
          <w:lang w:val="en-US"/>
        </w:rPr>
        <w:t>, where quality, originality, objectivity and relevance of the subject are the most important i</w:t>
      </w:r>
      <w:r w:rsidR="00305AA7">
        <w:rPr>
          <w:lang w:val="en-US"/>
        </w:rPr>
        <w:t>tems</w:t>
      </w:r>
      <w:r w:rsidR="00433D9E">
        <w:rPr>
          <w:lang w:val="en-US"/>
        </w:rPr>
        <w:t xml:space="preserve">. In the last day WOC 1 delegates will visit </w:t>
      </w:r>
      <w:proofErr w:type="spellStart"/>
      <w:r w:rsidR="00433D9E">
        <w:rPr>
          <w:lang w:val="en-US"/>
        </w:rPr>
        <w:t>Repsol</w:t>
      </w:r>
      <w:r w:rsidR="00305AA7">
        <w:rPr>
          <w:lang w:val="en-US"/>
        </w:rPr>
        <w:t>’s</w:t>
      </w:r>
      <w:proofErr w:type="spellEnd"/>
      <w:r w:rsidR="00433D9E">
        <w:rPr>
          <w:lang w:val="en-US"/>
        </w:rPr>
        <w:t xml:space="preserve"> Technological Centre</w:t>
      </w:r>
      <w:r w:rsidR="00305AA7">
        <w:rPr>
          <w:lang w:val="en-US"/>
        </w:rPr>
        <w:t xml:space="preserve"> in the outskirts of Madrid</w:t>
      </w:r>
      <w:r>
        <w:rPr>
          <w:lang w:val="en-US"/>
        </w:rPr>
        <w:t>.</w:t>
      </w:r>
    </w:p>
    <w:sectPr w:rsidR="00BB71DC">
      <w:headerReference w:type="even" r:id="rId11"/>
      <w:headerReference w:type="default" r:id="rId12"/>
      <w:footerReference w:type="even" r:id="rId13"/>
      <w:footerReference w:type="default" r:id="rId14"/>
      <w:headerReference w:type="first" r:id="rId15"/>
      <w:footerReference w:type="first" r:id="rId1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05F" w:rsidRDefault="006B605F" w:rsidP="003D398C">
      <w:pPr>
        <w:spacing w:after="0" w:line="240" w:lineRule="auto"/>
      </w:pPr>
      <w:r>
        <w:separator/>
      </w:r>
    </w:p>
  </w:endnote>
  <w:endnote w:type="continuationSeparator" w:id="0">
    <w:p w:rsidR="006B605F" w:rsidRDefault="006B605F" w:rsidP="003D3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3B0" w:rsidRDefault="00C313B0">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3B0" w:rsidRDefault="00C313B0">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3B0" w:rsidRDefault="00C313B0">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05F" w:rsidRDefault="006B605F" w:rsidP="003D398C">
      <w:pPr>
        <w:spacing w:after="0" w:line="240" w:lineRule="auto"/>
      </w:pPr>
      <w:r>
        <w:separator/>
      </w:r>
    </w:p>
  </w:footnote>
  <w:footnote w:type="continuationSeparator" w:id="0">
    <w:p w:rsidR="006B605F" w:rsidRDefault="006B605F" w:rsidP="003D39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3B0" w:rsidRDefault="00C313B0">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3B0" w:rsidRDefault="00C313B0" w:rsidP="00DA7839">
    <w:pPr>
      <w:pStyle w:val="Cabealho"/>
      <w:jc w:val="left"/>
    </w:pPr>
    <w:r>
      <w:rPr>
        <w:noProof/>
        <w:lang w:val="en-GB"/>
      </w:rPr>
      <w:drawing>
        <wp:anchor distT="0" distB="0" distL="114300" distR="114300" simplePos="0" relativeHeight="251660288" behindDoc="1" locked="0" layoutInCell="1" allowOverlap="0" wp14:anchorId="00458A92" wp14:editId="06E1ADC1">
          <wp:simplePos x="0" y="0"/>
          <wp:positionH relativeFrom="page">
            <wp:posOffset>4829175</wp:posOffset>
          </wp:positionH>
          <wp:positionV relativeFrom="paragraph">
            <wp:posOffset>135255</wp:posOffset>
          </wp:positionV>
          <wp:extent cx="901065" cy="533400"/>
          <wp:effectExtent l="0" t="0" r="0" b="0"/>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15152"/>
                  <a:stretch/>
                </pic:blipFill>
                <pic:spPr bwMode="auto">
                  <a:xfrm>
                    <a:off x="0" y="0"/>
                    <a:ext cx="901065" cy="533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en-GB"/>
      </w:rPr>
      <w:drawing>
        <wp:anchor distT="0" distB="0" distL="114300" distR="114300" simplePos="0" relativeHeight="251659264" behindDoc="0" locked="0" layoutInCell="1" allowOverlap="1" wp14:anchorId="1AD366C3" wp14:editId="3B19F7AF">
          <wp:simplePos x="0" y="0"/>
          <wp:positionH relativeFrom="column">
            <wp:posOffset>4735830</wp:posOffset>
          </wp:positionH>
          <wp:positionV relativeFrom="paragraph">
            <wp:posOffset>-20320</wp:posOffset>
          </wp:positionV>
          <wp:extent cx="622300" cy="719455"/>
          <wp:effectExtent l="0" t="0" r="6350" b="4445"/>
          <wp:wrapSquare wrapText="right"/>
          <wp:docPr id="4" name="Imagem 4" descr="Description: Logo WGC GB tra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Description: Logo WGC GB trans.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23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rPr>
      <w:drawing>
        <wp:inline distT="0" distB="0" distL="0" distR="0" wp14:anchorId="6E3FCFA6" wp14:editId="210DF803">
          <wp:extent cx="715886" cy="720000"/>
          <wp:effectExtent l="0" t="0" r="8255" b="444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C 1 logo v2.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15886" cy="720000"/>
                  </a:xfrm>
                  <a:prstGeom prst="rect">
                    <a:avLst/>
                  </a:prstGeom>
                </pic:spPr>
              </pic:pic>
            </a:graphicData>
          </a:graphic>
        </wp:inline>
      </w:drawing>
    </w:r>
  </w:p>
  <w:p w:rsidR="00C313B0" w:rsidRDefault="00C313B0" w:rsidP="00DA7839">
    <w:pPr>
      <w:pStyle w:val="Cabealho"/>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3B0" w:rsidRDefault="00C313B0">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65F82"/>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75D207C"/>
    <w:multiLevelType w:val="hybridMultilevel"/>
    <w:tmpl w:val="F4502FF2"/>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
    <w:nsid w:val="49CE22FB"/>
    <w:multiLevelType w:val="hybridMultilevel"/>
    <w:tmpl w:val="7A64DCE0"/>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hdrShapeDefaults>
    <o:shapedefaults v:ext="edit" spidmax="1331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C8E"/>
    <w:rsid w:val="0000477A"/>
    <w:rsid w:val="00022804"/>
    <w:rsid w:val="00022C8F"/>
    <w:rsid w:val="000337F1"/>
    <w:rsid w:val="00033A09"/>
    <w:rsid w:val="00035392"/>
    <w:rsid w:val="0005144F"/>
    <w:rsid w:val="00055696"/>
    <w:rsid w:val="000560EC"/>
    <w:rsid w:val="0005627E"/>
    <w:rsid w:val="00061A3B"/>
    <w:rsid w:val="0006516D"/>
    <w:rsid w:val="00066AE6"/>
    <w:rsid w:val="0007146D"/>
    <w:rsid w:val="00071DF3"/>
    <w:rsid w:val="00092EC2"/>
    <w:rsid w:val="0009471C"/>
    <w:rsid w:val="000A03C6"/>
    <w:rsid w:val="000B5944"/>
    <w:rsid w:val="000C0B84"/>
    <w:rsid w:val="000C4446"/>
    <w:rsid w:val="000C7D0C"/>
    <w:rsid w:val="000D1894"/>
    <w:rsid w:val="000D2A0F"/>
    <w:rsid w:val="000D5353"/>
    <w:rsid w:val="000D6A85"/>
    <w:rsid w:val="000E2162"/>
    <w:rsid w:val="000E3FAB"/>
    <w:rsid w:val="00100A8C"/>
    <w:rsid w:val="00105599"/>
    <w:rsid w:val="00113EA5"/>
    <w:rsid w:val="001176AE"/>
    <w:rsid w:val="00127330"/>
    <w:rsid w:val="00142B22"/>
    <w:rsid w:val="00146CBD"/>
    <w:rsid w:val="00150F4D"/>
    <w:rsid w:val="00153FD8"/>
    <w:rsid w:val="00155C8E"/>
    <w:rsid w:val="00156A56"/>
    <w:rsid w:val="00161513"/>
    <w:rsid w:val="00165A85"/>
    <w:rsid w:val="0016667E"/>
    <w:rsid w:val="00170DD9"/>
    <w:rsid w:val="0018322D"/>
    <w:rsid w:val="00183DF0"/>
    <w:rsid w:val="001A016B"/>
    <w:rsid w:val="001A1A3C"/>
    <w:rsid w:val="001B10E6"/>
    <w:rsid w:val="001B7274"/>
    <w:rsid w:val="001C4CC4"/>
    <w:rsid w:val="001D4F65"/>
    <w:rsid w:val="001D7724"/>
    <w:rsid w:val="001E4E6D"/>
    <w:rsid w:val="001F0B66"/>
    <w:rsid w:val="001F4093"/>
    <w:rsid w:val="001F452C"/>
    <w:rsid w:val="001F6DC9"/>
    <w:rsid w:val="002009FC"/>
    <w:rsid w:val="0024236E"/>
    <w:rsid w:val="00247FF8"/>
    <w:rsid w:val="002563F7"/>
    <w:rsid w:val="00264D23"/>
    <w:rsid w:val="0026621A"/>
    <w:rsid w:val="00266EC7"/>
    <w:rsid w:val="00275716"/>
    <w:rsid w:val="002921FD"/>
    <w:rsid w:val="00295495"/>
    <w:rsid w:val="00296257"/>
    <w:rsid w:val="00297135"/>
    <w:rsid w:val="002A1246"/>
    <w:rsid w:val="002C13FD"/>
    <w:rsid w:val="002C267D"/>
    <w:rsid w:val="002C650D"/>
    <w:rsid w:val="002D122D"/>
    <w:rsid w:val="002D38F4"/>
    <w:rsid w:val="002D70BE"/>
    <w:rsid w:val="002F124A"/>
    <w:rsid w:val="002F5789"/>
    <w:rsid w:val="002F69DB"/>
    <w:rsid w:val="00305388"/>
    <w:rsid w:val="00305AA7"/>
    <w:rsid w:val="00310648"/>
    <w:rsid w:val="00316EA5"/>
    <w:rsid w:val="00321074"/>
    <w:rsid w:val="00326694"/>
    <w:rsid w:val="00334CE0"/>
    <w:rsid w:val="00340BE0"/>
    <w:rsid w:val="003428C4"/>
    <w:rsid w:val="0037203F"/>
    <w:rsid w:val="003768DF"/>
    <w:rsid w:val="00380947"/>
    <w:rsid w:val="00381148"/>
    <w:rsid w:val="00384054"/>
    <w:rsid w:val="0038434A"/>
    <w:rsid w:val="00384439"/>
    <w:rsid w:val="00385337"/>
    <w:rsid w:val="003A27DF"/>
    <w:rsid w:val="003A7227"/>
    <w:rsid w:val="003B38DF"/>
    <w:rsid w:val="003B690B"/>
    <w:rsid w:val="003D1599"/>
    <w:rsid w:val="003D398C"/>
    <w:rsid w:val="003D6170"/>
    <w:rsid w:val="003E5DE7"/>
    <w:rsid w:val="003F0C09"/>
    <w:rsid w:val="003F253A"/>
    <w:rsid w:val="003F4DAF"/>
    <w:rsid w:val="003F77D8"/>
    <w:rsid w:val="004021DD"/>
    <w:rsid w:val="004102F8"/>
    <w:rsid w:val="004106CE"/>
    <w:rsid w:val="004138C5"/>
    <w:rsid w:val="004141F1"/>
    <w:rsid w:val="00416EE5"/>
    <w:rsid w:val="00422981"/>
    <w:rsid w:val="00427FB3"/>
    <w:rsid w:val="00433D9E"/>
    <w:rsid w:val="00441C92"/>
    <w:rsid w:val="00450482"/>
    <w:rsid w:val="00450F51"/>
    <w:rsid w:val="00451A6B"/>
    <w:rsid w:val="00460E52"/>
    <w:rsid w:val="00471119"/>
    <w:rsid w:val="00472A7A"/>
    <w:rsid w:val="00473FD9"/>
    <w:rsid w:val="0048030B"/>
    <w:rsid w:val="004845BE"/>
    <w:rsid w:val="00491FE0"/>
    <w:rsid w:val="00495194"/>
    <w:rsid w:val="004A2567"/>
    <w:rsid w:val="004B0303"/>
    <w:rsid w:val="004C0825"/>
    <w:rsid w:val="004C72F8"/>
    <w:rsid w:val="004C7CA7"/>
    <w:rsid w:val="004D7A96"/>
    <w:rsid w:val="004E1EB7"/>
    <w:rsid w:val="004F1D63"/>
    <w:rsid w:val="004F4F64"/>
    <w:rsid w:val="004F6201"/>
    <w:rsid w:val="00506081"/>
    <w:rsid w:val="00510F9A"/>
    <w:rsid w:val="00517882"/>
    <w:rsid w:val="0052043B"/>
    <w:rsid w:val="00520788"/>
    <w:rsid w:val="0052209E"/>
    <w:rsid w:val="00526252"/>
    <w:rsid w:val="00531648"/>
    <w:rsid w:val="0053268D"/>
    <w:rsid w:val="00533A56"/>
    <w:rsid w:val="0054204C"/>
    <w:rsid w:val="00563BF8"/>
    <w:rsid w:val="005736B5"/>
    <w:rsid w:val="00575F39"/>
    <w:rsid w:val="005763C7"/>
    <w:rsid w:val="00580DA4"/>
    <w:rsid w:val="005A362E"/>
    <w:rsid w:val="005A3D29"/>
    <w:rsid w:val="005A4CF4"/>
    <w:rsid w:val="005B1C1A"/>
    <w:rsid w:val="005B4169"/>
    <w:rsid w:val="005C1AFF"/>
    <w:rsid w:val="005C73EF"/>
    <w:rsid w:val="005D5709"/>
    <w:rsid w:val="005E2EDA"/>
    <w:rsid w:val="005E3ED5"/>
    <w:rsid w:val="005F4514"/>
    <w:rsid w:val="005F49EC"/>
    <w:rsid w:val="00600111"/>
    <w:rsid w:val="00602066"/>
    <w:rsid w:val="006164E0"/>
    <w:rsid w:val="006228E8"/>
    <w:rsid w:val="006237A3"/>
    <w:rsid w:val="00623BA5"/>
    <w:rsid w:val="0063310E"/>
    <w:rsid w:val="00633289"/>
    <w:rsid w:val="00634475"/>
    <w:rsid w:val="00637FEA"/>
    <w:rsid w:val="0064037F"/>
    <w:rsid w:val="00642524"/>
    <w:rsid w:val="00651DA5"/>
    <w:rsid w:val="006526B9"/>
    <w:rsid w:val="00655B89"/>
    <w:rsid w:val="00673B98"/>
    <w:rsid w:val="0067452D"/>
    <w:rsid w:val="00681316"/>
    <w:rsid w:val="006906E6"/>
    <w:rsid w:val="00690F44"/>
    <w:rsid w:val="00693565"/>
    <w:rsid w:val="006979CB"/>
    <w:rsid w:val="006A0B4B"/>
    <w:rsid w:val="006A5F53"/>
    <w:rsid w:val="006B103F"/>
    <w:rsid w:val="006B605F"/>
    <w:rsid w:val="006B7807"/>
    <w:rsid w:val="006D1B1D"/>
    <w:rsid w:val="006E4116"/>
    <w:rsid w:val="006F0CB7"/>
    <w:rsid w:val="006F2D8B"/>
    <w:rsid w:val="006F566A"/>
    <w:rsid w:val="00701FF2"/>
    <w:rsid w:val="007025DA"/>
    <w:rsid w:val="007102C0"/>
    <w:rsid w:val="00712715"/>
    <w:rsid w:val="007233F4"/>
    <w:rsid w:val="00723598"/>
    <w:rsid w:val="007237F8"/>
    <w:rsid w:val="007274A9"/>
    <w:rsid w:val="00746EF3"/>
    <w:rsid w:val="00750D33"/>
    <w:rsid w:val="007529A6"/>
    <w:rsid w:val="00755977"/>
    <w:rsid w:val="00776FB6"/>
    <w:rsid w:val="00780E50"/>
    <w:rsid w:val="007833C4"/>
    <w:rsid w:val="0078485F"/>
    <w:rsid w:val="00787F68"/>
    <w:rsid w:val="007A232D"/>
    <w:rsid w:val="007A331E"/>
    <w:rsid w:val="007A78FB"/>
    <w:rsid w:val="007B1840"/>
    <w:rsid w:val="007B3AB1"/>
    <w:rsid w:val="007B62DC"/>
    <w:rsid w:val="007C35B8"/>
    <w:rsid w:val="007C3A6D"/>
    <w:rsid w:val="007D1589"/>
    <w:rsid w:val="007D2E91"/>
    <w:rsid w:val="007D309D"/>
    <w:rsid w:val="007D79E2"/>
    <w:rsid w:val="007F08BA"/>
    <w:rsid w:val="007F0A45"/>
    <w:rsid w:val="007F4C80"/>
    <w:rsid w:val="007F74CD"/>
    <w:rsid w:val="00803D3A"/>
    <w:rsid w:val="00812B24"/>
    <w:rsid w:val="00817FC0"/>
    <w:rsid w:val="008209CF"/>
    <w:rsid w:val="008218B6"/>
    <w:rsid w:val="00821FCA"/>
    <w:rsid w:val="008262E6"/>
    <w:rsid w:val="00827483"/>
    <w:rsid w:val="00827E77"/>
    <w:rsid w:val="008321C6"/>
    <w:rsid w:val="00837337"/>
    <w:rsid w:val="00837C20"/>
    <w:rsid w:val="0085365C"/>
    <w:rsid w:val="008544CA"/>
    <w:rsid w:val="008606DF"/>
    <w:rsid w:val="008610A4"/>
    <w:rsid w:val="00867B68"/>
    <w:rsid w:val="008718DB"/>
    <w:rsid w:val="00871EB9"/>
    <w:rsid w:val="00885C94"/>
    <w:rsid w:val="00886028"/>
    <w:rsid w:val="008920E1"/>
    <w:rsid w:val="0089255C"/>
    <w:rsid w:val="00894806"/>
    <w:rsid w:val="00895D7A"/>
    <w:rsid w:val="00895FFC"/>
    <w:rsid w:val="00897FF0"/>
    <w:rsid w:val="008A79BC"/>
    <w:rsid w:val="008B07DC"/>
    <w:rsid w:val="008B3917"/>
    <w:rsid w:val="008B4551"/>
    <w:rsid w:val="008D25E8"/>
    <w:rsid w:val="008D3951"/>
    <w:rsid w:val="008E51EB"/>
    <w:rsid w:val="008E6DCA"/>
    <w:rsid w:val="008F6292"/>
    <w:rsid w:val="0090016F"/>
    <w:rsid w:val="0090103C"/>
    <w:rsid w:val="00903784"/>
    <w:rsid w:val="00905B58"/>
    <w:rsid w:val="00910D44"/>
    <w:rsid w:val="00913081"/>
    <w:rsid w:val="00916945"/>
    <w:rsid w:val="0092183D"/>
    <w:rsid w:val="00923C5E"/>
    <w:rsid w:val="00926F55"/>
    <w:rsid w:val="0093509F"/>
    <w:rsid w:val="00937BC2"/>
    <w:rsid w:val="009517C5"/>
    <w:rsid w:val="00957212"/>
    <w:rsid w:val="0096206E"/>
    <w:rsid w:val="009720BE"/>
    <w:rsid w:val="00972DAF"/>
    <w:rsid w:val="0097669A"/>
    <w:rsid w:val="00983629"/>
    <w:rsid w:val="009A38CB"/>
    <w:rsid w:val="009A4B8E"/>
    <w:rsid w:val="009A4EBB"/>
    <w:rsid w:val="009B132D"/>
    <w:rsid w:val="009B7D3F"/>
    <w:rsid w:val="009D00D9"/>
    <w:rsid w:val="009D165E"/>
    <w:rsid w:val="009D3AE8"/>
    <w:rsid w:val="009D53F7"/>
    <w:rsid w:val="009D66B8"/>
    <w:rsid w:val="009E11F1"/>
    <w:rsid w:val="009E2BE2"/>
    <w:rsid w:val="009E2D26"/>
    <w:rsid w:val="009E540E"/>
    <w:rsid w:val="00A06B12"/>
    <w:rsid w:val="00A07536"/>
    <w:rsid w:val="00A12B3D"/>
    <w:rsid w:val="00A132AD"/>
    <w:rsid w:val="00A14CFC"/>
    <w:rsid w:val="00A22BC4"/>
    <w:rsid w:val="00A25779"/>
    <w:rsid w:val="00A31508"/>
    <w:rsid w:val="00A3315E"/>
    <w:rsid w:val="00A441C0"/>
    <w:rsid w:val="00A5190A"/>
    <w:rsid w:val="00A52F6B"/>
    <w:rsid w:val="00A5798B"/>
    <w:rsid w:val="00A64529"/>
    <w:rsid w:val="00A72BA7"/>
    <w:rsid w:val="00A779D5"/>
    <w:rsid w:val="00A833D5"/>
    <w:rsid w:val="00A83416"/>
    <w:rsid w:val="00A90507"/>
    <w:rsid w:val="00AA131D"/>
    <w:rsid w:val="00AB0551"/>
    <w:rsid w:val="00AB4AA0"/>
    <w:rsid w:val="00AC0573"/>
    <w:rsid w:val="00AC2399"/>
    <w:rsid w:val="00AC2FBF"/>
    <w:rsid w:val="00AC561E"/>
    <w:rsid w:val="00AD34EF"/>
    <w:rsid w:val="00AD3E37"/>
    <w:rsid w:val="00AF1AC4"/>
    <w:rsid w:val="00AF3734"/>
    <w:rsid w:val="00AF68F3"/>
    <w:rsid w:val="00AF6ADC"/>
    <w:rsid w:val="00B220AC"/>
    <w:rsid w:val="00B25030"/>
    <w:rsid w:val="00B348F6"/>
    <w:rsid w:val="00B3644B"/>
    <w:rsid w:val="00B36C85"/>
    <w:rsid w:val="00B40FC9"/>
    <w:rsid w:val="00B45F01"/>
    <w:rsid w:val="00B52269"/>
    <w:rsid w:val="00B604B5"/>
    <w:rsid w:val="00B61F55"/>
    <w:rsid w:val="00B6354C"/>
    <w:rsid w:val="00B67DAC"/>
    <w:rsid w:val="00B776AA"/>
    <w:rsid w:val="00B8443B"/>
    <w:rsid w:val="00B90257"/>
    <w:rsid w:val="00B90B2D"/>
    <w:rsid w:val="00B922D6"/>
    <w:rsid w:val="00B978DD"/>
    <w:rsid w:val="00BA5066"/>
    <w:rsid w:val="00BA5C1C"/>
    <w:rsid w:val="00BB0A9A"/>
    <w:rsid w:val="00BB2BC6"/>
    <w:rsid w:val="00BB71DC"/>
    <w:rsid w:val="00BB7274"/>
    <w:rsid w:val="00BE2FFC"/>
    <w:rsid w:val="00BE5788"/>
    <w:rsid w:val="00C07AD7"/>
    <w:rsid w:val="00C12155"/>
    <w:rsid w:val="00C1655C"/>
    <w:rsid w:val="00C20988"/>
    <w:rsid w:val="00C23F6E"/>
    <w:rsid w:val="00C25C34"/>
    <w:rsid w:val="00C25E7B"/>
    <w:rsid w:val="00C269E2"/>
    <w:rsid w:val="00C313B0"/>
    <w:rsid w:val="00C36251"/>
    <w:rsid w:val="00C4017B"/>
    <w:rsid w:val="00C41953"/>
    <w:rsid w:val="00C429B1"/>
    <w:rsid w:val="00C470DA"/>
    <w:rsid w:val="00C513F5"/>
    <w:rsid w:val="00C5442C"/>
    <w:rsid w:val="00C56FC9"/>
    <w:rsid w:val="00C763ED"/>
    <w:rsid w:val="00C772F2"/>
    <w:rsid w:val="00C840F0"/>
    <w:rsid w:val="00C86A5F"/>
    <w:rsid w:val="00C92B88"/>
    <w:rsid w:val="00C960D0"/>
    <w:rsid w:val="00CA4417"/>
    <w:rsid w:val="00CC4AC7"/>
    <w:rsid w:val="00CD0457"/>
    <w:rsid w:val="00CD3B5E"/>
    <w:rsid w:val="00CE05BD"/>
    <w:rsid w:val="00CE1E87"/>
    <w:rsid w:val="00CE2640"/>
    <w:rsid w:val="00CE4F37"/>
    <w:rsid w:val="00CE7FA2"/>
    <w:rsid w:val="00CF1307"/>
    <w:rsid w:val="00CF764F"/>
    <w:rsid w:val="00D05F46"/>
    <w:rsid w:val="00D16204"/>
    <w:rsid w:val="00D20458"/>
    <w:rsid w:val="00D23C76"/>
    <w:rsid w:val="00D25321"/>
    <w:rsid w:val="00D25622"/>
    <w:rsid w:val="00D3081D"/>
    <w:rsid w:val="00D464AC"/>
    <w:rsid w:val="00D511A2"/>
    <w:rsid w:val="00D56D43"/>
    <w:rsid w:val="00D57B32"/>
    <w:rsid w:val="00D61132"/>
    <w:rsid w:val="00D65AE3"/>
    <w:rsid w:val="00D72660"/>
    <w:rsid w:val="00D741FE"/>
    <w:rsid w:val="00D82EFE"/>
    <w:rsid w:val="00D848CA"/>
    <w:rsid w:val="00D87377"/>
    <w:rsid w:val="00D87DF5"/>
    <w:rsid w:val="00D91BC7"/>
    <w:rsid w:val="00DA032A"/>
    <w:rsid w:val="00DA3EE4"/>
    <w:rsid w:val="00DA7839"/>
    <w:rsid w:val="00DB023D"/>
    <w:rsid w:val="00DB5D8A"/>
    <w:rsid w:val="00DC47BF"/>
    <w:rsid w:val="00DC4901"/>
    <w:rsid w:val="00DC53BF"/>
    <w:rsid w:val="00DC5766"/>
    <w:rsid w:val="00DD509E"/>
    <w:rsid w:val="00DD5F18"/>
    <w:rsid w:val="00DF445F"/>
    <w:rsid w:val="00DF4809"/>
    <w:rsid w:val="00DF5EFE"/>
    <w:rsid w:val="00DF63E4"/>
    <w:rsid w:val="00DF768B"/>
    <w:rsid w:val="00E03EA7"/>
    <w:rsid w:val="00E1142E"/>
    <w:rsid w:val="00E1636B"/>
    <w:rsid w:val="00E30CA9"/>
    <w:rsid w:val="00E321A2"/>
    <w:rsid w:val="00E43EC0"/>
    <w:rsid w:val="00E564AF"/>
    <w:rsid w:val="00E618DB"/>
    <w:rsid w:val="00E72D0B"/>
    <w:rsid w:val="00E733C8"/>
    <w:rsid w:val="00E8324F"/>
    <w:rsid w:val="00E83FC2"/>
    <w:rsid w:val="00E8562B"/>
    <w:rsid w:val="00E91F77"/>
    <w:rsid w:val="00E95730"/>
    <w:rsid w:val="00EB2973"/>
    <w:rsid w:val="00EB63B1"/>
    <w:rsid w:val="00EC15A7"/>
    <w:rsid w:val="00ED1FD7"/>
    <w:rsid w:val="00EE157A"/>
    <w:rsid w:val="00EE3FB5"/>
    <w:rsid w:val="00EE5E18"/>
    <w:rsid w:val="00EF15FA"/>
    <w:rsid w:val="00EF1C36"/>
    <w:rsid w:val="00EF574E"/>
    <w:rsid w:val="00F25658"/>
    <w:rsid w:val="00F26899"/>
    <w:rsid w:val="00F26E25"/>
    <w:rsid w:val="00F310BC"/>
    <w:rsid w:val="00F36994"/>
    <w:rsid w:val="00F46C69"/>
    <w:rsid w:val="00F4770E"/>
    <w:rsid w:val="00F56B57"/>
    <w:rsid w:val="00F60188"/>
    <w:rsid w:val="00F65621"/>
    <w:rsid w:val="00F6734A"/>
    <w:rsid w:val="00F747D2"/>
    <w:rsid w:val="00F865F5"/>
    <w:rsid w:val="00F9641A"/>
    <w:rsid w:val="00FA1233"/>
    <w:rsid w:val="00FA389D"/>
    <w:rsid w:val="00FA6E20"/>
    <w:rsid w:val="00FB1E31"/>
    <w:rsid w:val="00FB23D3"/>
    <w:rsid w:val="00FB46C0"/>
    <w:rsid w:val="00FC0DFB"/>
    <w:rsid w:val="00FD2279"/>
    <w:rsid w:val="00FE1101"/>
    <w:rsid w:val="00FE1661"/>
    <w:rsid w:val="00FE5BF0"/>
    <w:rsid w:val="00FF517A"/>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C36"/>
    <w:pPr>
      <w:jc w:val="both"/>
    </w:pPr>
  </w:style>
  <w:style w:type="paragraph" w:styleId="Ttulo1">
    <w:name w:val="heading 1"/>
    <w:basedOn w:val="Normal"/>
    <w:next w:val="Normal"/>
    <w:link w:val="Ttulo1Char"/>
    <w:uiPriority w:val="9"/>
    <w:qFormat/>
    <w:rsid w:val="003D39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AA131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C5442C"/>
    <w:pPr>
      <w:keepNext/>
      <w:keepLines/>
      <w:spacing w:before="200" w:after="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3D398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D398C"/>
    <w:rPr>
      <w:rFonts w:ascii="Tahoma" w:hAnsi="Tahoma" w:cs="Tahoma"/>
      <w:sz w:val="16"/>
      <w:szCs w:val="16"/>
    </w:rPr>
  </w:style>
  <w:style w:type="paragraph" w:styleId="Legenda">
    <w:name w:val="caption"/>
    <w:basedOn w:val="Normal"/>
    <w:next w:val="Normal"/>
    <w:uiPriority w:val="35"/>
    <w:unhideWhenUsed/>
    <w:qFormat/>
    <w:rsid w:val="003D398C"/>
    <w:pPr>
      <w:spacing w:line="240" w:lineRule="auto"/>
    </w:pPr>
    <w:rPr>
      <w:b/>
      <w:bCs/>
      <w:color w:val="4F81BD" w:themeColor="accent1"/>
      <w:sz w:val="18"/>
      <w:szCs w:val="18"/>
    </w:rPr>
  </w:style>
  <w:style w:type="character" w:customStyle="1" w:styleId="Ttulo1Char">
    <w:name w:val="Título 1 Char"/>
    <w:basedOn w:val="Fontepargpadro"/>
    <w:link w:val="Ttulo1"/>
    <w:uiPriority w:val="9"/>
    <w:rsid w:val="003D398C"/>
    <w:rPr>
      <w:rFonts w:asciiTheme="majorHAnsi" w:eastAsiaTheme="majorEastAsia" w:hAnsiTheme="majorHAnsi" w:cstheme="majorBidi"/>
      <w:b/>
      <w:bCs/>
      <w:color w:val="365F91" w:themeColor="accent1" w:themeShade="BF"/>
      <w:sz w:val="28"/>
      <w:szCs w:val="28"/>
    </w:rPr>
  </w:style>
  <w:style w:type="paragraph" w:styleId="Cabealho">
    <w:name w:val="header"/>
    <w:basedOn w:val="Normal"/>
    <w:link w:val="CabealhoChar"/>
    <w:uiPriority w:val="99"/>
    <w:unhideWhenUsed/>
    <w:rsid w:val="003D398C"/>
    <w:pPr>
      <w:tabs>
        <w:tab w:val="center" w:pos="4419"/>
        <w:tab w:val="right" w:pos="8838"/>
      </w:tabs>
      <w:spacing w:after="0" w:line="240" w:lineRule="auto"/>
    </w:pPr>
  </w:style>
  <w:style w:type="character" w:customStyle="1" w:styleId="CabealhoChar">
    <w:name w:val="Cabeçalho Char"/>
    <w:basedOn w:val="Fontepargpadro"/>
    <w:link w:val="Cabealho"/>
    <w:uiPriority w:val="99"/>
    <w:rsid w:val="003D398C"/>
  </w:style>
  <w:style w:type="paragraph" w:styleId="Rodap">
    <w:name w:val="footer"/>
    <w:basedOn w:val="Normal"/>
    <w:link w:val="RodapChar"/>
    <w:uiPriority w:val="99"/>
    <w:unhideWhenUsed/>
    <w:rsid w:val="003D398C"/>
    <w:pPr>
      <w:tabs>
        <w:tab w:val="center" w:pos="4419"/>
        <w:tab w:val="right" w:pos="8838"/>
      </w:tabs>
      <w:spacing w:after="0" w:line="240" w:lineRule="auto"/>
    </w:pPr>
  </w:style>
  <w:style w:type="character" w:customStyle="1" w:styleId="RodapChar">
    <w:name w:val="Rodapé Char"/>
    <w:basedOn w:val="Fontepargpadro"/>
    <w:link w:val="Rodap"/>
    <w:uiPriority w:val="99"/>
    <w:rsid w:val="003D398C"/>
  </w:style>
  <w:style w:type="paragraph" w:styleId="PargrafodaLista">
    <w:name w:val="List Paragraph"/>
    <w:basedOn w:val="Normal"/>
    <w:uiPriority w:val="34"/>
    <w:qFormat/>
    <w:rsid w:val="00127330"/>
    <w:pPr>
      <w:ind w:left="720"/>
      <w:contextualSpacing/>
    </w:pPr>
  </w:style>
  <w:style w:type="character" w:styleId="Hyperlink">
    <w:name w:val="Hyperlink"/>
    <w:basedOn w:val="Fontepargpadro"/>
    <w:uiPriority w:val="99"/>
    <w:unhideWhenUsed/>
    <w:rsid w:val="00B776AA"/>
    <w:rPr>
      <w:color w:val="0000FF" w:themeColor="hyperlink"/>
      <w:u w:val="single"/>
    </w:rPr>
  </w:style>
  <w:style w:type="character" w:customStyle="1" w:styleId="Ttulo2Char">
    <w:name w:val="Título 2 Char"/>
    <w:basedOn w:val="Fontepargpadro"/>
    <w:link w:val="Ttulo2"/>
    <w:uiPriority w:val="9"/>
    <w:rsid w:val="00AA131D"/>
    <w:rPr>
      <w:rFonts w:asciiTheme="majorHAnsi" w:eastAsiaTheme="majorEastAsia" w:hAnsiTheme="majorHAnsi" w:cstheme="majorBidi"/>
      <w:b/>
      <w:bCs/>
      <w:color w:val="4F81BD" w:themeColor="accent1"/>
      <w:sz w:val="26"/>
      <w:szCs w:val="26"/>
    </w:rPr>
  </w:style>
  <w:style w:type="table" w:styleId="Tabelacomgrade">
    <w:name w:val="Table Grid"/>
    <w:basedOn w:val="Tabelanormal"/>
    <w:uiPriority w:val="59"/>
    <w:rsid w:val="00A075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mentoMdio1-nfase1">
    <w:name w:val="Medium Shading 1 Accent 1"/>
    <w:basedOn w:val="Tabelanormal"/>
    <w:uiPriority w:val="63"/>
    <w:rsid w:val="0063310E"/>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SombreamentoMdio1">
    <w:name w:val="Medium Shading 1"/>
    <w:basedOn w:val="Tabelanormal"/>
    <w:uiPriority w:val="63"/>
    <w:rsid w:val="00C763ED"/>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character" w:customStyle="1" w:styleId="Ttulo3Char">
    <w:name w:val="Título 3 Char"/>
    <w:basedOn w:val="Fontepargpadro"/>
    <w:link w:val="Ttulo3"/>
    <w:uiPriority w:val="9"/>
    <w:rsid w:val="00C5442C"/>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C36"/>
    <w:pPr>
      <w:jc w:val="both"/>
    </w:pPr>
  </w:style>
  <w:style w:type="paragraph" w:styleId="Ttulo1">
    <w:name w:val="heading 1"/>
    <w:basedOn w:val="Normal"/>
    <w:next w:val="Normal"/>
    <w:link w:val="Ttulo1Char"/>
    <w:uiPriority w:val="9"/>
    <w:qFormat/>
    <w:rsid w:val="003D39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AA131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C5442C"/>
    <w:pPr>
      <w:keepNext/>
      <w:keepLines/>
      <w:spacing w:before="200" w:after="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3D398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D398C"/>
    <w:rPr>
      <w:rFonts w:ascii="Tahoma" w:hAnsi="Tahoma" w:cs="Tahoma"/>
      <w:sz w:val="16"/>
      <w:szCs w:val="16"/>
    </w:rPr>
  </w:style>
  <w:style w:type="paragraph" w:styleId="Legenda">
    <w:name w:val="caption"/>
    <w:basedOn w:val="Normal"/>
    <w:next w:val="Normal"/>
    <w:uiPriority w:val="35"/>
    <w:unhideWhenUsed/>
    <w:qFormat/>
    <w:rsid w:val="003D398C"/>
    <w:pPr>
      <w:spacing w:line="240" w:lineRule="auto"/>
    </w:pPr>
    <w:rPr>
      <w:b/>
      <w:bCs/>
      <w:color w:val="4F81BD" w:themeColor="accent1"/>
      <w:sz w:val="18"/>
      <w:szCs w:val="18"/>
    </w:rPr>
  </w:style>
  <w:style w:type="character" w:customStyle="1" w:styleId="Ttulo1Char">
    <w:name w:val="Título 1 Char"/>
    <w:basedOn w:val="Fontepargpadro"/>
    <w:link w:val="Ttulo1"/>
    <w:uiPriority w:val="9"/>
    <w:rsid w:val="003D398C"/>
    <w:rPr>
      <w:rFonts w:asciiTheme="majorHAnsi" w:eastAsiaTheme="majorEastAsia" w:hAnsiTheme="majorHAnsi" w:cstheme="majorBidi"/>
      <w:b/>
      <w:bCs/>
      <w:color w:val="365F91" w:themeColor="accent1" w:themeShade="BF"/>
      <w:sz w:val="28"/>
      <w:szCs w:val="28"/>
    </w:rPr>
  </w:style>
  <w:style w:type="paragraph" w:styleId="Cabealho">
    <w:name w:val="header"/>
    <w:basedOn w:val="Normal"/>
    <w:link w:val="CabealhoChar"/>
    <w:uiPriority w:val="99"/>
    <w:unhideWhenUsed/>
    <w:rsid w:val="003D398C"/>
    <w:pPr>
      <w:tabs>
        <w:tab w:val="center" w:pos="4419"/>
        <w:tab w:val="right" w:pos="8838"/>
      </w:tabs>
      <w:spacing w:after="0" w:line="240" w:lineRule="auto"/>
    </w:pPr>
  </w:style>
  <w:style w:type="character" w:customStyle="1" w:styleId="CabealhoChar">
    <w:name w:val="Cabeçalho Char"/>
    <w:basedOn w:val="Fontepargpadro"/>
    <w:link w:val="Cabealho"/>
    <w:uiPriority w:val="99"/>
    <w:rsid w:val="003D398C"/>
  </w:style>
  <w:style w:type="paragraph" w:styleId="Rodap">
    <w:name w:val="footer"/>
    <w:basedOn w:val="Normal"/>
    <w:link w:val="RodapChar"/>
    <w:uiPriority w:val="99"/>
    <w:unhideWhenUsed/>
    <w:rsid w:val="003D398C"/>
    <w:pPr>
      <w:tabs>
        <w:tab w:val="center" w:pos="4419"/>
        <w:tab w:val="right" w:pos="8838"/>
      </w:tabs>
      <w:spacing w:after="0" w:line="240" w:lineRule="auto"/>
    </w:pPr>
  </w:style>
  <w:style w:type="character" w:customStyle="1" w:styleId="RodapChar">
    <w:name w:val="Rodapé Char"/>
    <w:basedOn w:val="Fontepargpadro"/>
    <w:link w:val="Rodap"/>
    <w:uiPriority w:val="99"/>
    <w:rsid w:val="003D398C"/>
  </w:style>
  <w:style w:type="paragraph" w:styleId="PargrafodaLista">
    <w:name w:val="List Paragraph"/>
    <w:basedOn w:val="Normal"/>
    <w:uiPriority w:val="34"/>
    <w:qFormat/>
    <w:rsid w:val="00127330"/>
    <w:pPr>
      <w:ind w:left="720"/>
      <w:contextualSpacing/>
    </w:pPr>
  </w:style>
  <w:style w:type="character" w:styleId="Hyperlink">
    <w:name w:val="Hyperlink"/>
    <w:basedOn w:val="Fontepargpadro"/>
    <w:uiPriority w:val="99"/>
    <w:unhideWhenUsed/>
    <w:rsid w:val="00B776AA"/>
    <w:rPr>
      <w:color w:val="0000FF" w:themeColor="hyperlink"/>
      <w:u w:val="single"/>
    </w:rPr>
  </w:style>
  <w:style w:type="character" w:customStyle="1" w:styleId="Ttulo2Char">
    <w:name w:val="Título 2 Char"/>
    <w:basedOn w:val="Fontepargpadro"/>
    <w:link w:val="Ttulo2"/>
    <w:uiPriority w:val="9"/>
    <w:rsid w:val="00AA131D"/>
    <w:rPr>
      <w:rFonts w:asciiTheme="majorHAnsi" w:eastAsiaTheme="majorEastAsia" w:hAnsiTheme="majorHAnsi" w:cstheme="majorBidi"/>
      <w:b/>
      <w:bCs/>
      <w:color w:val="4F81BD" w:themeColor="accent1"/>
      <w:sz w:val="26"/>
      <w:szCs w:val="26"/>
    </w:rPr>
  </w:style>
  <w:style w:type="table" w:styleId="Tabelacomgrade">
    <w:name w:val="Table Grid"/>
    <w:basedOn w:val="Tabelanormal"/>
    <w:uiPriority w:val="59"/>
    <w:rsid w:val="00A075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mentoMdio1-nfase1">
    <w:name w:val="Medium Shading 1 Accent 1"/>
    <w:basedOn w:val="Tabelanormal"/>
    <w:uiPriority w:val="63"/>
    <w:rsid w:val="0063310E"/>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SombreamentoMdio1">
    <w:name w:val="Medium Shading 1"/>
    <w:basedOn w:val="Tabelanormal"/>
    <w:uiPriority w:val="63"/>
    <w:rsid w:val="00C763ED"/>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character" w:customStyle="1" w:styleId="Ttulo3Char">
    <w:name w:val="Título 3 Char"/>
    <w:basedOn w:val="Fontepargpadro"/>
    <w:link w:val="Ttulo3"/>
    <w:uiPriority w:val="9"/>
    <w:rsid w:val="00C5442C"/>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wgc2015.org"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2.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06D73-D0F7-406D-AFB4-8AA4D9987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4486</TotalTime>
  <Pages>7</Pages>
  <Words>2406</Words>
  <Characters>13717</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Petrobras</Company>
  <LinksUpToDate>false</LinksUpToDate>
  <CharactersWithSpaces>16091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MARCOS DE FREITAS SUGAYA</dc:creator>
  <cp:lastModifiedBy>Marcos de Freitas Sugaya</cp:lastModifiedBy>
  <cp:revision>47</cp:revision>
  <cp:lastPrinted>2013-03-07T11:59:00Z</cp:lastPrinted>
  <dcterms:created xsi:type="dcterms:W3CDTF">2013-03-05T10:10:00Z</dcterms:created>
  <dcterms:modified xsi:type="dcterms:W3CDTF">2014-03-24T16:49:00Z</dcterms:modified>
</cp:coreProperties>
</file>